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F008" w14:textId="77777777" w:rsidR="00BC41CD" w:rsidRPr="00BC41CD" w:rsidRDefault="00BC41CD" w:rsidP="00BC41C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b/>
          <w:bCs/>
          <w:color w:val="414141"/>
          <w:sz w:val="21"/>
          <w:szCs w:val="21"/>
          <w:lang w:eastAsia="ru-RU"/>
        </w:rPr>
        <w:t>Стоматологическая поликлиника проводит бесплатное стоматологическое лечение взрослых, детей и подростков (до 18 лет) в рамках Территориальной программы ОМС включает:</w:t>
      </w:r>
    </w:p>
    <w:p w14:paraId="2417328F" w14:textId="77777777" w:rsidR="00BC41CD" w:rsidRPr="00BC41CD" w:rsidRDefault="00BC41CD" w:rsidP="00BC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sym w:font="Symbol" w:char="F0B7"/>
      </w:r>
      <w:r w:rsidRPr="00BC41C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​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 диагностику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стоматологических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заболеваний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;</w:t>
      </w:r>
    </w:p>
    <w:p w14:paraId="28FB4EA6" w14:textId="77777777" w:rsidR="00BC41CD" w:rsidRPr="00BC41CD" w:rsidRDefault="00BC41CD" w:rsidP="00BC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sym w:font="Symbol" w:char="F0B7"/>
      </w:r>
      <w:r w:rsidRPr="00BC41C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​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 профил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актические мероприятия, включая профилактические осмотры;</w:t>
      </w:r>
    </w:p>
    <w:p w14:paraId="4C0500B5" w14:textId="77777777" w:rsidR="00BC41CD" w:rsidRPr="00BC41CD" w:rsidRDefault="00BC41CD" w:rsidP="00BC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sym w:font="Symbol" w:char="F0B7"/>
      </w:r>
      <w:r w:rsidRPr="00BC41C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​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 диспансерное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наблюдение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;</w:t>
      </w:r>
    </w:p>
    <w:p w14:paraId="76F907C0" w14:textId="77777777" w:rsidR="00BC41CD" w:rsidRPr="00BC41CD" w:rsidRDefault="00BC41CD" w:rsidP="00BC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sym w:font="Symbol" w:char="F0B7"/>
      </w:r>
      <w:r w:rsidRPr="00BC41C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​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 лечение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и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удаление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зубов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;</w:t>
      </w:r>
    </w:p>
    <w:p w14:paraId="4AAB5573" w14:textId="77777777" w:rsidR="00BC41CD" w:rsidRPr="00BC41CD" w:rsidRDefault="00BC41CD" w:rsidP="00BC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sym w:font="Symbol" w:char="F0B7"/>
      </w:r>
      <w:r w:rsidRPr="00BC41C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​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 лечение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слизистой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полости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рта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;</w:t>
      </w:r>
    </w:p>
    <w:p w14:paraId="29F9EAA1" w14:textId="77777777" w:rsidR="00BC41CD" w:rsidRPr="00BC41CD" w:rsidRDefault="00BC41CD" w:rsidP="00BC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sym w:font="Symbol" w:char="F0B7"/>
      </w:r>
      <w:r w:rsidRPr="00BC41C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​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 лечение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заболеваний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пародонта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;</w:t>
      </w:r>
    </w:p>
    <w:p w14:paraId="73AAF1C2" w14:textId="77777777" w:rsidR="00BC41CD" w:rsidRPr="00BC41CD" w:rsidRDefault="00BC41CD" w:rsidP="00BC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sym w:font="Symbol" w:char="F0B7"/>
      </w:r>
      <w:r w:rsidRPr="00BC41C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​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 лечение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всех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острых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воспалительных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заболеваний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челюстно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-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лицевой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обла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сти;</w:t>
      </w:r>
    </w:p>
    <w:p w14:paraId="0009A66D" w14:textId="77777777" w:rsidR="00BC41CD" w:rsidRPr="00BC41CD" w:rsidRDefault="00BC41CD" w:rsidP="00BC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sym w:font="Symbol" w:char="F0B7"/>
      </w:r>
      <w:r w:rsidRPr="00BC41C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​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 ортодонтическое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лечение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детей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,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не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достигших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возраста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18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лет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согласно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«Классификатору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стоматологических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услуг»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,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рекомендованного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ФФОМС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РФ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при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реализации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территориальной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программы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ОМС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на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2017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г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.</w:t>
      </w:r>
    </w:p>
    <w:p w14:paraId="0D425C52" w14:textId="77777777" w:rsidR="00BC41CD" w:rsidRPr="00BC41CD" w:rsidRDefault="00BC41CD" w:rsidP="00BC4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sym w:font="Symbol" w:char="F0B7"/>
      </w:r>
      <w:r w:rsidRPr="00BC41C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​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 физиотерапевтическое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 xml:space="preserve"> </w:t>
      </w:r>
      <w:r w:rsidRPr="00BC41CD">
        <w:rPr>
          <w:rFonts w:ascii="Verdana" w:eastAsia="Times New Roman" w:hAnsi="Verdana" w:cs="Verdana"/>
          <w:color w:val="414141"/>
          <w:sz w:val="21"/>
          <w:szCs w:val="21"/>
          <w:lang w:eastAsia="ru-RU"/>
        </w:rPr>
        <w:t>лечение</w:t>
      </w: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.</w:t>
      </w:r>
    </w:p>
    <w:p w14:paraId="45DC7C86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При лечении зубов и других заболеваний полости рта применяются анестетики, медицинские препараты, стоматологические материалы и инструментарий в соответствии с «Перечнем», утвержденным письмом Минздрава Самарской области от 10.03.2017 №30/564.</w:t>
      </w:r>
    </w:p>
    <w:p w14:paraId="36A1F3CB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В Территориальную программу госгарантий </w:t>
      </w:r>
      <w:r w:rsidRPr="00BC41CD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ru-RU"/>
        </w:rPr>
        <w:t>не входит лечение зубов</w:t>
      </w: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 и других стоматологических заболеваний с применением анестетиков и стоматологических материалов </w:t>
      </w:r>
      <w:r w:rsidRPr="00BC41CD">
        <w:rPr>
          <w:rFonts w:ascii="Verdana" w:eastAsia="Times New Roman" w:hAnsi="Verdana" w:cs="Times New Roman"/>
          <w:b/>
          <w:bCs/>
          <w:color w:val="414141"/>
          <w:sz w:val="24"/>
          <w:szCs w:val="24"/>
          <w:lang w:eastAsia="ru-RU"/>
        </w:rPr>
        <w:t>не входящих</w:t>
      </w: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 в утвержденный «Перечень» по ОМС:</w:t>
      </w:r>
    </w:p>
    <w:p w14:paraId="7E129593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лечение зубов с применением дорогостоящих пломбировочных материалов химического отверждения и стеклоиономерных цементов;</w:t>
      </w:r>
    </w:p>
    <w:p w14:paraId="2A0118A6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лечение зубов с применением светоотверждаемых материалов;</w:t>
      </w:r>
    </w:p>
    <w:p w14:paraId="071B4FAE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запечатывание фиссур светоотверждаемыми материалами;</w:t>
      </w:r>
    </w:p>
    <w:p w14:paraId="3DCC829B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резекция верхушки корня;</w:t>
      </w:r>
    </w:p>
    <w:p w14:paraId="69BB3738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пластика уздечки верхней губы;</w:t>
      </w:r>
    </w:p>
    <w:p w14:paraId="4E42410D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пластика уздечки нижней губы;</w:t>
      </w:r>
    </w:p>
    <w:p w14:paraId="5EC6642A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пластика уздечки языка;</w:t>
      </w:r>
    </w:p>
    <w:p w14:paraId="7BFD944B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операции по поводу остеопластики и имплантации;</w:t>
      </w:r>
    </w:p>
    <w:p w14:paraId="4A2EF6CF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проведение анестезии дорогостоящими анестетиками;</w:t>
      </w:r>
    </w:p>
    <w:p w14:paraId="06BF3CE4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отбеливание зубов;</w:t>
      </w:r>
    </w:p>
    <w:p w14:paraId="718FBA90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ортодонтическое лечение взрослых (18 лет и старше);</w:t>
      </w:r>
    </w:p>
    <w:p w14:paraId="31F507F2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ортодонтическое лечение детей до 18 лет с применением ортодонтических аппаратов и систем (включая сопровождение), не предусмотренных «Классификатором стоматологических услуг», рекомендованного ФФОМС РФ при реализации территориальной программы ОМС на 2017г</w:t>
      </w:r>
    </w:p>
    <w:p w14:paraId="203E9C78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оказание платной стоматологической помощи всем категориям граждан по их личному желанию;</w:t>
      </w:r>
    </w:p>
    <w:p w14:paraId="1D055AFF" w14:textId="77777777" w:rsidR="00BC41CD" w:rsidRPr="00BC41CD" w:rsidRDefault="00BC41CD" w:rsidP="00BC4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  <w:t>плановые консультации специалистов, диагностические и лечебные услуги, предоставляемые: вне очереди, установленной в медицинском учреждении; при отсутствии у пациента страхового медицинского полиса (за исключением экстренной и неотложной помощи).</w:t>
      </w:r>
    </w:p>
    <w:p w14:paraId="7180B356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Полный перечень услуг Вы можете </w:t>
      </w:r>
      <w:hyperlink r:id="rId5" w:history="1">
        <w:r w:rsidRPr="00BC41CD">
          <w:rPr>
            <w:rFonts w:ascii="Verdana" w:eastAsia="Times New Roman" w:hAnsi="Verdana" w:cs="Times New Roman"/>
            <w:color w:val="0088CC"/>
            <w:sz w:val="24"/>
            <w:szCs w:val="24"/>
            <w:u w:val="single"/>
            <w:lang w:eastAsia="ru-RU"/>
          </w:rPr>
          <w:t>скачать здесь</w:t>
        </w:r>
      </w:hyperlink>
    </w:p>
    <w:p w14:paraId="716CEE1D" w14:textId="77777777" w:rsidR="00BC41CD" w:rsidRPr="00BC41CD" w:rsidRDefault="00BC41CD" w:rsidP="00BC41CD">
      <w:pPr>
        <w:shd w:val="clear" w:color="auto" w:fill="FFFFFF"/>
        <w:spacing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lastRenderedPageBreak/>
        <w:t>Также рекомендуем ознакомиться с "</w:t>
      </w:r>
      <w:hyperlink r:id="rId6" w:history="1">
        <w:r w:rsidRPr="00BC41CD">
          <w:rPr>
            <w:rFonts w:ascii="Verdana" w:eastAsia="Times New Roman" w:hAnsi="Verdana" w:cs="Times New Roman"/>
            <w:color w:val="0088CC"/>
            <w:sz w:val="24"/>
            <w:szCs w:val="24"/>
            <w:u w:val="single"/>
            <w:lang w:eastAsia="ru-RU"/>
          </w:rPr>
          <w:t>Памяткой для граждан о гарантиях бесплатного оказания медицинской помощи</w:t>
        </w:r>
      </w:hyperlink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 "</w:t>
      </w:r>
    </w:p>
    <w:p w14:paraId="7AF7C2BF" w14:textId="77777777" w:rsidR="00BC41CD" w:rsidRPr="00BC41CD" w:rsidRDefault="00BC41CD" w:rsidP="00BC41C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b/>
          <w:bCs/>
          <w:color w:val="414141"/>
          <w:sz w:val="21"/>
          <w:szCs w:val="21"/>
          <w:lang w:eastAsia="ru-RU"/>
        </w:rPr>
        <w:t>Кто имеет право на получение бесплатной помощи?</w:t>
      </w:r>
    </w:p>
    <w:p w14:paraId="0DF70F1A" w14:textId="77777777" w:rsidR="00BC41CD" w:rsidRPr="00BC41CD" w:rsidRDefault="00BC41CD" w:rsidP="00BC41CD">
      <w:pPr>
        <w:shd w:val="clear" w:color="auto" w:fill="FFFFFF"/>
        <w:spacing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Любой гражданин РФ, имеющий полис обязательного медицинского страхования (ОМС). Для получения полиса следует обратиться в страховую компанию.</w:t>
      </w:r>
    </w:p>
    <w:p w14:paraId="5A0B19B5" w14:textId="77777777" w:rsidR="00BC41CD" w:rsidRPr="00BC41CD" w:rsidRDefault="00BC41CD" w:rsidP="00BC41C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b/>
          <w:bCs/>
          <w:color w:val="414141"/>
          <w:sz w:val="21"/>
          <w:szCs w:val="21"/>
          <w:lang w:eastAsia="ru-RU"/>
        </w:rPr>
        <w:t>Какие документы регулируют порядок оказания помощи, права и обязанности граждан в сфере охраны здоровья?</w:t>
      </w:r>
    </w:p>
    <w:p w14:paraId="76E6169B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1. </w:t>
      </w:r>
      <w:hyperlink r:id="rId7" w:history="1">
        <w:r w:rsidRPr="00BC41CD">
          <w:rPr>
            <w:rFonts w:ascii="Verdana" w:eastAsia="Times New Roman" w:hAnsi="Verdana" w:cs="Times New Roman"/>
            <w:color w:val="0088CC"/>
            <w:sz w:val="24"/>
            <w:szCs w:val="24"/>
            <w:u w:val="single"/>
            <w:lang w:eastAsia="ru-RU"/>
          </w:rPr>
          <w:t>Федеральный закон от 21.11.2011 N 323-ФЗ</w:t>
        </w:r>
      </w:hyperlink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      (ред. от 29.12.2017) "Об основах охраны здоровья граждан в Российской Федерации" </w:t>
      </w:r>
    </w:p>
    <w:p w14:paraId="73FE410D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2. </w:t>
      </w:r>
      <w:hyperlink r:id="rId8" w:history="1">
        <w:r w:rsidRPr="00BC41CD">
          <w:rPr>
            <w:rFonts w:ascii="Verdana" w:eastAsia="Times New Roman" w:hAnsi="Verdana" w:cs="Times New Roman"/>
            <w:color w:val="0088CC"/>
            <w:sz w:val="24"/>
            <w:szCs w:val="24"/>
            <w:u w:val="single"/>
            <w:lang w:eastAsia="ru-RU"/>
          </w:rPr>
          <w:t>Территориальная программа</w:t>
        </w:r>
      </w:hyperlink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   государственных гарантий бесплатного оказания населению Самарской области медицинской помощи на 2019 год. Утверждена постановлением Правительства Самарской области № 837 от 27.12.2018 года.</w:t>
      </w:r>
    </w:p>
    <w:p w14:paraId="7C127C97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Показатели доступности и качества медицинской помощи, установлены в п. 11 "Целевые значения критериев доступности и качества медицинской помощи" Территориальной программы государственных гарантий бесплатного оказания гражданам медицинской помощи на текущий год.</w:t>
      </w:r>
    </w:p>
    <w:p w14:paraId="6C42AA35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3. </w:t>
      </w:r>
      <w:hyperlink r:id="rId9" w:history="1">
        <w:r w:rsidRPr="00BC41CD">
          <w:rPr>
            <w:rFonts w:ascii="Verdana" w:eastAsia="Times New Roman" w:hAnsi="Verdana" w:cs="Times New Roman"/>
            <w:color w:val="0088CC"/>
            <w:sz w:val="24"/>
            <w:szCs w:val="24"/>
            <w:u w:val="single"/>
            <w:lang w:eastAsia="ru-RU"/>
          </w:rPr>
          <w:t>Правительства РФ от 10 декабря 2018 года № 1056</w:t>
        </w:r>
      </w:hyperlink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   "О Программе государственных гарантий бесплатного оказания гражданам медицинской помощи на 2019 год и на плановый период 2020 и 2021 годов"</w:t>
      </w:r>
    </w:p>
    <w:p w14:paraId="5488AF1C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4. Права и обязанности граждан в сфере охраны здоровья определены главой 4 Федерального закона от 21.11.2011 года № 323 - ФЗ. Ознакомиться с текстом документа Вы можете нажав на ссылку в п.1 текущего раздела сайта.</w:t>
      </w:r>
    </w:p>
    <w:p w14:paraId="1AB2A8C1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5. Правила внутреннего распорядка ГБУЗ СО "ТСП № 1" (</w:t>
      </w:r>
      <w:hyperlink r:id="rId10" w:history="1">
        <w:r w:rsidRPr="00BC41CD">
          <w:rPr>
            <w:rFonts w:ascii="Verdana" w:eastAsia="Times New Roman" w:hAnsi="Verdana" w:cs="Times New Roman"/>
            <w:color w:val="0088CC"/>
            <w:sz w:val="24"/>
            <w:szCs w:val="24"/>
            <w:u w:val="single"/>
            <w:lang w:eastAsia="ru-RU"/>
          </w:rPr>
          <w:t>скачать</w:t>
        </w:r>
      </w:hyperlink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 )</w:t>
      </w:r>
    </w:p>
    <w:p w14:paraId="5300B6F3" w14:textId="77777777" w:rsidR="00BC41CD" w:rsidRPr="00BC41CD" w:rsidRDefault="00BC41CD" w:rsidP="00BC41CD">
      <w:pPr>
        <w:shd w:val="clear" w:color="auto" w:fill="FFFFFF"/>
        <w:spacing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6. </w:t>
      </w:r>
      <w:hyperlink r:id="rId11" w:history="1">
        <w:r w:rsidRPr="00BC41CD">
          <w:rPr>
            <w:rFonts w:ascii="Verdana" w:eastAsia="Times New Roman" w:hAnsi="Verdana" w:cs="Times New Roman"/>
            <w:color w:val="0088CC"/>
            <w:sz w:val="24"/>
            <w:szCs w:val="24"/>
            <w:u w:val="single"/>
            <w:lang w:eastAsia="ru-RU"/>
          </w:rPr>
          <w:t>Тарифное соглашение</w:t>
        </w:r>
      </w:hyperlink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  в системе обязательного медицинского страхования Самарской области на 2019 год от 29.12.2018 года</w:t>
      </w:r>
    </w:p>
    <w:p w14:paraId="5D776304" w14:textId="77777777" w:rsidR="00BC41CD" w:rsidRPr="00BC41CD" w:rsidRDefault="00BC41CD" w:rsidP="00BC41CD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414141"/>
          <w:sz w:val="21"/>
          <w:szCs w:val="21"/>
          <w:lang w:eastAsia="ru-RU"/>
        </w:rPr>
      </w:pPr>
      <w:r w:rsidRPr="00BC41CD">
        <w:rPr>
          <w:rFonts w:ascii="Verdana" w:eastAsia="Times New Roman" w:hAnsi="Verdana" w:cs="Times New Roman"/>
          <w:b/>
          <w:bCs/>
          <w:color w:val="414141"/>
          <w:sz w:val="21"/>
          <w:szCs w:val="21"/>
          <w:lang w:eastAsia="ru-RU"/>
        </w:rPr>
        <w:t>Как записаться на прием?</w:t>
      </w:r>
    </w:p>
    <w:p w14:paraId="481E6905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u w:val="single"/>
          <w:lang w:eastAsia="ru-RU"/>
        </w:rPr>
        <w:t>Прием граждан осуществляется по записи. Записаться на прием можно следующими способами:</w:t>
      </w:r>
    </w:p>
    <w:p w14:paraId="51AFB31E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1. При личном обращении в регистратуру;</w:t>
      </w:r>
    </w:p>
    <w:p w14:paraId="5C77589E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2. По телефону регистратуры. Контактные телефоны:</w:t>
      </w:r>
    </w:p>
    <w:p w14:paraId="698F939E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- Детское отделение: (8482) 93-17-61 и 93-54-00</w:t>
      </w:r>
    </w:p>
    <w:p w14:paraId="441EF5A8" w14:textId="77777777" w:rsidR="00BC41CD" w:rsidRPr="00BC41CD" w:rsidRDefault="00BC41CD" w:rsidP="00BC41CD">
      <w:pPr>
        <w:shd w:val="clear" w:color="auto" w:fill="FFFFFF"/>
        <w:spacing w:after="0"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- Взрослое отделение: (8482) 93-17-62, 93-54-93.</w:t>
      </w:r>
    </w:p>
    <w:p w14:paraId="72C2FF07" w14:textId="77777777" w:rsidR="00BC41CD" w:rsidRPr="00BC41CD" w:rsidRDefault="00BC41CD" w:rsidP="00BC41CD">
      <w:pPr>
        <w:shd w:val="clear" w:color="auto" w:fill="FFFFFF"/>
        <w:spacing w:line="338" w:lineRule="atLeast"/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</w:pPr>
      <w:r w:rsidRPr="00BC41CD">
        <w:rPr>
          <w:rFonts w:ascii="Verdana" w:eastAsia="Times New Roman" w:hAnsi="Verdana" w:cs="Times New Roman"/>
          <w:color w:val="414141"/>
          <w:sz w:val="24"/>
          <w:szCs w:val="24"/>
          <w:lang w:eastAsia="ru-RU"/>
        </w:rPr>
        <w:t>3. Самостоятельная запись на первичный прием через систему электронной регистратуры. Самостоятельная запись через систему электронной регистратуры возможна на сайтах  </w:t>
      </w:r>
      <w:hyperlink r:id="rId12" w:history="1">
        <w:r w:rsidRPr="00BC41CD">
          <w:rPr>
            <w:rFonts w:ascii="Verdana" w:eastAsia="Times New Roman" w:hAnsi="Verdana" w:cs="Times New Roman"/>
            <w:color w:val="0088CC"/>
            <w:sz w:val="24"/>
            <w:szCs w:val="24"/>
            <w:u w:val="single"/>
            <w:lang w:eastAsia="ru-RU"/>
          </w:rPr>
          <w:t>ereg.miac.samregion.ru</w:t>
        </w:r>
      </w:hyperlink>
    </w:p>
    <w:p w14:paraId="45CE1D7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660F"/>
    <w:multiLevelType w:val="multilevel"/>
    <w:tmpl w:val="25A2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D5B58"/>
    <w:multiLevelType w:val="multilevel"/>
    <w:tmpl w:val="EF5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41"/>
    <w:rsid w:val="004C0141"/>
    <w:rsid w:val="007914E2"/>
    <w:rsid w:val="00B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60452-6E8D-4A0C-888C-47E5AC9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52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55643255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3924846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4391993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tfoms.ru/filemanager/Documents/Informaciya-dlya-sybektov-OMS/Terrialnaya_programma_OMC/Postanovlen837_2712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mtlt.ru/static/i/redactor/files/377/Federalnii-zakon-ot-21.11.2011-n-323-FZ-red.-ot-29.12.2017.pdf" TargetMode="External"/><Relationship Id="rId12" Type="http://schemas.openxmlformats.org/officeDocument/2006/relationships/hyperlink" Target="http://www.stomtlt.ru/lpu/sp1/pages/ereg.miac.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mtlt.ru/static/i/redactor/files/377/Pamyatka-ob-okazanii-besplatnoi-medicinskoi-pomoshhi.pdf" TargetMode="External"/><Relationship Id="rId11" Type="http://schemas.openxmlformats.org/officeDocument/2006/relationships/hyperlink" Target="http://www.stomtlt.ru/static/i/redactor/files/377/TS-2019-tekst.pdf" TargetMode="External"/><Relationship Id="rId5" Type="http://schemas.openxmlformats.org/officeDocument/2006/relationships/hyperlink" Target="http://stomtlt.ru/lpu/sp1/services" TargetMode="External"/><Relationship Id="rId10" Type="http://schemas.openxmlformats.org/officeDocument/2006/relationships/hyperlink" Target="http://www.stomtlt.ru/static/i/redactor/files/377/Pravila-vnytrennego-rasporyadka-GBYZ-SO-TSP-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tfoms.ru/filemanager/Documents/Informaciya-dlya-sybektov-OMS/Terrialnaya_programma_OMC/pp1506_10_12_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2019-08-28T04:16:00Z</dcterms:created>
  <dcterms:modified xsi:type="dcterms:W3CDTF">2019-08-28T04:16:00Z</dcterms:modified>
</cp:coreProperties>
</file>