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0FD" w:rsidRPr="00AE50FD" w:rsidRDefault="00AE50FD" w:rsidP="00AE50FD">
      <w:pPr>
        <w:shd w:val="clear" w:color="auto" w:fill="FFFFFF"/>
        <w:spacing w:before="300" w:after="750" w:line="675" w:lineRule="atLeast"/>
        <w:outlineLvl w:val="0"/>
        <w:rPr>
          <w:rFonts w:ascii="Proxima_Light" w:eastAsia="Times New Roman" w:hAnsi="Proxima_Light" w:cs="Times New Roman"/>
          <w:caps/>
          <w:color w:val="000D1B"/>
          <w:kern w:val="36"/>
          <w:sz w:val="38"/>
          <w:szCs w:val="38"/>
          <w:lang w:eastAsia="ru-RU"/>
        </w:rPr>
      </w:pPr>
      <w:r w:rsidRPr="00AE50FD">
        <w:rPr>
          <w:rFonts w:ascii="Proxima_Light" w:eastAsia="Times New Roman" w:hAnsi="Proxima_Light" w:cs="Times New Roman"/>
          <w:caps/>
          <w:color w:val="000D1B"/>
          <w:kern w:val="36"/>
          <w:sz w:val="38"/>
          <w:szCs w:val="38"/>
          <w:lang w:eastAsia="ru-RU"/>
        </w:rPr>
        <w:t>РЕЗУС-СЕНСИБИЛИЗАЦИЯ. ГЕМОЛИТИЧЕСКАЯ БОЛЕЗНЬ ПЛОДА</w: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color w:val="008080"/>
          <w:sz w:val="27"/>
          <w:szCs w:val="27"/>
          <w:lang w:eastAsia="ru-RU"/>
        </w:rPr>
        <w:t>МЕХАНИЗМ РАЗВИТИЯ СЕНСИБИЛИЗАЦИИ И РЕЗУС-КОНФЛИКТА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Развивается только при резус-положительной крови  плода у резус-отрицательной матери. Проникновение плодовых резус-положительных эритроцитов в кровоток матери вызывает выработку резус- антител, которые, проникая через плаценту,  разрушают эритроциты плода, приводя к  развитию гемолитической болезни,  вплоть до тяжелой формы, до массивного отека  и внутриутробной  гибели плода. Продукты разрушения эритроцитов (биллирубин) при определенных концентрациях может приводить к  повреждению центральной нервной системы плода.</w:t>
      </w:r>
    </w:p>
    <w:p w:rsidR="00AE50FD" w:rsidRPr="00AE50FD" w:rsidRDefault="00AE50FD" w:rsidP="00AE50FD">
      <w:pPr>
        <w:shd w:val="clear" w:color="auto" w:fill="FFFFFF"/>
        <w:spacing w:before="300" w:after="300" w:line="240" w:lineRule="auto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pict>
          <v:rect id="_x0000_i1025" style="width:0;height:0" o:hralign="center" o:hrstd="t" o:hr="t" fillcolor="#a0a0a0" stroked="f"/>
        </w:pic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color w:val="008080"/>
          <w:sz w:val="27"/>
          <w:szCs w:val="27"/>
          <w:lang w:eastAsia="ru-RU"/>
        </w:rPr>
        <w:t>ФАКТОРЫ РИСКА РАЗВИТИЯ РЕЗУС-КОНФЛИКТА</w:t>
      </w:r>
    </w:p>
    <w:p w:rsidR="00AE50FD" w:rsidRPr="00AE50FD" w:rsidRDefault="00AE50FD" w:rsidP="00AE50FD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переливание крови без учета резус-принадлежности женщинам с резус-отрицательной кровью;</w:t>
      </w:r>
    </w:p>
    <w:p w:rsidR="00AE50FD" w:rsidRPr="00AE50FD" w:rsidRDefault="00AE50FD" w:rsidP="00AE50FD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роды, медицинские аборты, внематочная беременность у женщин с резус-отрицательной принадлежностью крови;</w:t>
      </w:r>
    </w:p>
    <w:p w:rsidR="00AE50FD" w:rsidRPr="00AE50FD" w:rsidRDefault="00AE50FD" w:rsidP="00AE50FD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инвазивные диагностические и лечебные вмешательства (биопсия хориона, амниоцентез, кордоцентез, серкляж, редукция эмбрионов при многоплодии, поворот плода на головку при тазовом предлежании);</w:t>
      </w:r>
    </w:p>
    <w:p w:rsidR="00AE50FD" w:rsidRPr="00AE50FD" w:rsidRDefault="00AE50FD" w:rsidP="00AE50FD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кровотечения во время беременности;</w:t>
      </w:r>
    </w:p>
    <w:p w:rsidR="00AE50FD" w:rsidRPr="00AE50FD" w:rsidRDefault="00AE50FD" w:rsidP="00AE50FD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внутриутробная гибель плода при данной беременности;</w:t>
      </w:r>
    </w:p>
    <w:p w:rsidR="00AE50FD" w:rsidRPr="00AE50FD" w:rsidRDefault="00AE50FD" w:rsidP="00AE50FD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абдоминальные травмы.</w:t>
      </w:r>
    </w:p>
    <w:p w:rsidR="00AE50FD" w:rsidRPr="00AE50FD" w:rsidRDefault="00AE50FD" w:rsidP="00AE50FD">
      <w:pPr>
        <w:shd w:val="clear" w:color="auto" w:fill="FFFFFF"/>
        <w:spacing w:before="300" w:after="300" w:line="240" w:lineRule="auto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pict>
          <v:rect id="_x0000_i1026" style="width:0;height:0" o:hralign="center" o:hrstd="t" o:hr="t" fillcolor="#a0a0a0" stroked="f"/>
        </w:pic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color w:val="008080"/>
          <w:sz w:val="27"/>
          <w:szCs w:val="27"/>
          <w:lang w:eastAsia="ru-RU"/>
        </w:rPr>
        <w:t>ПРОФИЛАКТИКА РЕЗУС-КОНФЛИКТА</w:t>
      </w:r>
    </w:p>
    <w:p w:rsidR="00AE50FD" w:rsidRPr="00AE50FD" w:rsidRDefault="00AE50FD" w:rsidP="00AE50FD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Сохранение первой и последующих беременностей у женщин с резус-отрицательной принадлежностью крови.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Введение анти-Rh(D)-иммуноглобулина должно проводиться: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при отсутствии антител в 28 недель беременности;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после проведения инвазивных диагностических и лечебных вмешательств во время беременности (биопсия хориона, амниоцентез, кордоцентез, серкляж, редукция эмбрионов при многоплодии, акушерские кровотечения);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при угрозе прерывания беременности с отслойкой плодного яйца;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при медицинском аборте в конце I триместра;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lastRenderedPageBreak/>
        <w:t>самопроизвольном или медицинском прерывании беременности во II триместре; антенатальной гибели плода;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при резус-положительной крови новорожденного показано проведение специфической профилактики резус-изоиммунизации не позже, чем через 72 часа после родов.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После введения анти- Rh (D — иммуноглобулина в течении 12 недель возможно выявление следовых уровней титра анти- Rh -антител, поэтому анализ на антитела проводить не нужно.</w:t>
      </w:r>
    </w:p>
    <w:p w:rsidR="00AE50FD" w:rsidRPr="00AE50FD" w:rsidRDefault="00AE50FD" w:rsidP="00AE50FD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В случае резус-отрицательной принадлежности крови новорожденного проведение специфической профилактики резус-изоиммунизации не нужно.</w:t>
      </w:r>
    </w:p>
    <w:p w:rsidR="00AE50FD" w:rsidRPr="00AE50FD" w:rsidRDefault="00AE50FD" w:rsidP="00AE50FD">
      <w:pPr>
        <w:shd w:val="clear" w:color="auto" w:fill="FFFFFF"/>
        <w:spacing w:before="300" w:after="300" w:line="240" w:lineRule="auto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pict>
          <v:rect id="_x0000_i1027" style="width:0;height:0" o:hralign="center" o:hrstd="t" o:hr="t" fillcolor="#a0a0a0" stroked="f"/>
        </w:pic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color w:val="008080"/>
          <w:sz w:val="27"/>
          <w:szCs w:val="27"/>
          <w:lang w:eastAsia="ru-RU"/>
        </w:rPr>
        <w:t>ДИАГНОСТИКА ГЕМОЛИТИЧЕСКОЙ БОЛЕЗНИ ПЛОДА</w:t>
      </w:r>
    </w:p>
    <w:p w:rsidR="00AE50FD" w:rsidRPr="00AE50FD" w:rsidRDefault="00AE50FD" w:rsidP="00AE50FD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Выявление и определение титра антител на протяжении беременности</w:t>
      </w:r>
    </w:p>
    <w:p w:rsidR="00AE50FD" w:rsidRPr="00AE50FD" w:rsidRDefault="00AE50FD" w:rsidP="00AE50FD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УЗИ плода с определением параметров кровотока в средней мозговой артерии плода.</w: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sz w:val="27"/>
          <w:szCs w:val="27"/>
          <w:lang w:eastAsia="ru-RU"/>
        </w:rPr>
        <w:t>Лечение  гемолитической болезни плода</w:t>
      </w: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 в настоящее время в Москве  и Московской области  проводится на основании  клинических рекомендаций (протокола)  от 14 апреля 2017 г. согласно  письму от 18 мая 2017 г. N 15-4/10/2-3300  Министерства здравоохранения Российской Федерации.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Единственным  доказанным методом лечения тяжелых форм гемолитической болезни плода является проведение внутриматочных внутрисосудистых переливаний отмытых лейкофильтрованных эритроцитов донора плоду. Этот метод лечения является наиболее успешным.</w: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color w:val="FF0000"/>
          <w:sz w:val="27"/>
          <w:szCs w:val="27"/>
          <w:lang w:eastAsia="ru-RU"/>
        </w:rPr>
        <w:t>Такие методы как десенсибилизирующая терапия, пересадка кожного лоскута от мужа, гемосорбция, плазмаферез, иммуносорбция в настоящее время не используются.</w: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sz w:val="27"/>
          <w:szCs w:val="27"/>
          <w:lang w:eastAsia="ru-RU"/>
        </w:rPr>
        <w:t>МОНИИАГ  оказывает в полном  объеме помощь женщинам с резус- конфликтной беременностью.  Проводится  ультразвуковая и  лабораторная диагностика, ведение беременности и лечение гемолитической болезни методом внутриутробных  переливаний донорской  крови плоду, при необходимости- многократное; выхаживание новорожденных, при необходимости досрочных родов в условиях отделения  реанимации.</w:t>
      </w:r>
    </w:p>
    <w:p w:rsidR="00AE50FD" w:rsidRPr="00AE50FD" w:rsidRDefault="00AE50FD" w:rsidP="00AE50FD">
      <w:pPr>
        <w:shd w:val="clear" w:color="auto" w:fill="FFFFFF"/>
        <w:spacing w:before="300" w:after="300" w:line="240" w:lineRule="auto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pict>
          <v:rect id="_x0000_i1028" style="width:0;height:0" o:hralign="center" o:hrstd="t" o:hr="t" fillcolor="#a0a0a0" stroked="f"/>
        </w:pic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color w:val="008080"/>
          <w:sz w:val="27"/>
          <w:szCs w:val="27"/>
          <w:lang w:eastAsia="ru-RU"/>
        </w:rPr>
        <w:t>ЧТО ДОЛЖНА ЗНАТЬ БЕРЕМЕННАЯ ЖЕНЩИНА?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 xml:space="preserve">Женщины с резус-отрицательной принадлежностью крови должны понимать  необходимость сохранения первой беременности, знать о высоком </w:t>
      </w: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lastRenderedPageBreak/>
        <w:t>риске развития резус- конфликта при выполнении абортов и обязательном проведении профилактики резус-</w:t>
      </w: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softHyphen/>
        <w:t>изоиммунизации путем введения анти-резус-иммуноглобулина после родов, выкидышей, абортов и внематочной беременности.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При планировании беременности женщина должна знать  резус- и групповую принадлежность крови отца ее будущего ребенка. Все беременные с резус-отрицательной принадлежностью крови должны знать  о необходимости профилактического введения анти-Rh-(D) иммуноглобулина после диагностических инвазивных процедур, в 28 недель беременности и после родов.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Женщины  с резус-сенсибилизацией, с гибелью плодов  или новорожденных от гемолитической болезни, должны знать  о возможности специальных программ предимплантационной диагностики в циклах ЭКО.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 </w:t>
      </w:r>
    </w:p>
    <w:p w:rsidR="00AE50FD" w:rsidRPr="00AE50FD" w:rsidRDefault="00AE50FD" w:rsidP="00AE50FD">
      <w:pPr>
        <w:shd w:val="clear" w:color="auto" w:fill="FFFFFF"/>
        <w:spacing w:after="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b/>
          <w:bCs/>
          <w:sz w:val="27"/>
          <w:szCs w:val="27"/>
          <w:lang w:eastAsia="ru-RU"/>
        </w:rPr>
        <w:t>Жительницы Московской области в резус- отрицательной кровью</w:t>
      </w: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  при выявлении резус антител в крови могут  получить консультацию, при необходимости- дополнительные лабораторные и  ультразвуковые  исследования в условиях МОНИИАГ.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При выявлении гемолитической болезни плода  проводится лечение  путем внутриматочных внутрисосудистых переливаний отмытых лейкофильтрованных эритроцитов донора плоду в условиях МОНИИАГ.</w:t>
      </w:r>
    </w:p>
    <w:p w:rsidR="00AE50FD" w:rsidRPr="00AE50FD" w:rsidRDefault="00AE50FD" w:rsidP="00AE50FD">
      <w:pPr>
        <w:shd w:val="clear" w:color="auto" w:fill="FFFFFF"/>
        <w:spacing w:after="150" w:line="375" w:lineRule="atLeast"/>
        <w:rPr>
          <w:rFonts w:ascii="Proxima_Light" w:eastAsia="Times New Roman" w:hAnsi="Proxima_Light" w:cs="Times New Roman"/>
          <w:sz w:val="27"/>
          <w:szCs w:val="27"/>
          <w:lang w:eastAsia="ru-RU"/>
        </w:rPr>
      </w:pPr>
      <w:r w:rsidRPr="00AE50FD">
        <w:rPr>
          <w:rFonts w:ascii="Proxima_Light" w:eastAsia="Times New Roman" w:hAnsi="Proxima_Light" w:cs="Times New Roman"/>
          <w:sz w:val="27"/>
          <w:szCs w:val="27"/>
          <w:lang w:eastAsia="ru-RU"/>
        </w:rPr>
        <w:t>Роды у беременных с гемолитической болезнью плода проводятся в условиях МОНИИАГ или перинатальных центров области по решению врачебного консилиума.</w:t>
      </w:r>
    </w:p>
    <w:p w:rsidR="000D6EE8" w:rsidRDefault="000D6EE8">
      <w:bookmarkStart w:id="0" w:name="_GoBack"/>
      <w:bookmarkEnd w:id="0"/>
    </w:p>
    <w:sectPr w:rsidR="000D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_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4A23"/>
    <w:multiLevelType w:val="multilevel"/>
    <w:tmpl w:val="E71E0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685F16"/>
    <w:multiLevelType w:val="multilevel"/>
    <w:tmpl w:val="52248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9666BC"/>
    <w:multiLevelType w:val="multilevel"/>
    <w:tmpl w:val="16E6F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BB7F44"/>
    <w:multiLevelType w:val="multilevel"/>
    <w:tmpl w:val="329CF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A3"/>
    <w:rsid w:val="000D6EE8"/>
    <w:rsid w:val="008143A3"/>
    <w:rsid w:val="00A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6FDA-AAEE-44E4-95B6-38BF580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5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0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E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0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2019-11-18T18:11:00Z</dcterms:created>
  <dcterms:modified xsi:type="dcterms:W3CDTF">2019-11-18T18:11:00Z</dcterms:modified>
</cp:coreProperties>
</file>