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CB3627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Медикаментозные методы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Торпедо</w:t>
      </w: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- один из первых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препаратов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используемых для блокады алкогольной зависимости. Обладает умеренно выраженными свойствами подавления тяги. В случае 'срыва' возникают слабо выраженные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нару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i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ения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самочувствия.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 MST, SIT, NIT</w:t>
      </w: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- более современные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методы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.П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одавление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тяги у этих препаратов более выраженное и реакция, возникающая при контакте с алкоголем, гораздо серьёзнее - возникает судорожный синдром с последующей остановкой дыхания. Ранее при введении этих лекарств впервые обязательно проводили провокацию т. к. пациент не только на словах, но и на деле должен был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убедится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в серьёзности ситуации.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 Двойной блок</w:t>
      </w: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- по сути это не отдельный метод, а сочетание двух различных методик.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Вводится два различных препарата, либо сочетается метод Довженко с внутривенным введение лекарства.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Делается это с целью минимизировать риск безнаказанного употребления алкоголя и дополнительного снижения психологической тяги.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 </w:t>
      </w:r>
      <w:proofErr w:type="spellStart"/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Актоплекс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-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препарат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специально разработанный для кодирования пациентов, находящихся в состоянии алкогольного опьянения. Однако необходима очистка крови перед введением препарата.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 </w:t>
      </w:r>
      <w:proofErr w:type="spellStart"/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Витамерц</w:t>
      </w:r>
      <w:proofErr w:type="spellEnd"/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 xml:space="preserve"> депо</w:t>
      </w: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- препарат применятся для кодирования на длительный срок (до 5-ти лет), но наиболее эффективен 2-3 года. Необходимо помнить, что кодирование на срок более года подходит для пациентов, ранее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успе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i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но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лечивiихся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, и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хороiо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переносящих воздержание от алкоголя.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 </w:t>
      </w:r>
      <w:proofErr w:type="spellStart"/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Алгоминал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- один из самых эффективных и современных препаратов на данный момент. Максимальное подавление тяги к алкоголю, высокая эффективность для всех стадий алкоголизма.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 Если кодирование уже проводилось, и оно было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успе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i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ным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,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лучiе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всего использовать тот же препарат, либо более современный, но из той же группы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proofErr w:type="spellStart"/>
      <w:r w:rsidRPr="00CB3627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Эспераль</w:t>
      </w:r>
      <w:proofErr w:type="spellEnd"/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ЭСПЕРАЛЬ (ДИСУЛЬФИРАМ) - препарат для имплантации. Рекомендуется для лечения больных с алкогольной зависимостью. Обладает пролонгированным действием. Ингибирует фермент </w:t>
      </w:r>
      <w:proofErr w:type="spell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ацетальдегиддегидрогеназу</w:t>
      </w:r>
      <w:proofErr w:type="spell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 участвующий в метаболизме этилового спирта, что приводит к повышению концентрации ацетальдегида - промежуточного метаболита этанола. Данный метаболит способен вызывать ряд неприятных ощущений: приливы крови к лицу, тошноту, рвоту, чувство недомогания, тахикардию, снижение АД, что делает чрезвычайно неприятным употребление алкоголя после приема препарата и позволяет сформировать стойкий отрицательный условный рефлекс на вид и запах спиртного.</w:t>
      </w:r>
    </w:p>
    <w:p w:rsidR="00CB3627" w:rsidRPr="00CB3627" w:rsidRDefault="00CB3627" w:rsidP="00CB3627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</w:t>
      </w:r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br/>
        <w:t xml:space="preserve">Следует учесть, что "идеального" препарата, или методики, которые подходят каждому не существует,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также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как и не существует 100% положительного результата лечения от алкогольной зависимости (кодирование алкоголизма и других методов). Опытный нарколог выбором правильного метода и </w:t>
      </w:r>
      <w:proofErr w:type="gramStart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срока</w:t>
      </w:r>
      <w:proofErr w:type="gramEnd"/>
      <w:r w:rsidRPr="00CB3627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на который надо закодировать может  существенно приблизить результативность кодирования к 100%, но, к сожалению, не достичь ее.</w:t>
      </w:r>
    </w:p>
    <w:p w:rsidR="001C6C6E" w:rsidRDefault="001C6C6E"/>
    <w:sectPr w:rsidR="001C6C6E" w:rsidSect="001C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27"/>
    <w:rsid w:val="001C6C6E"/>
    <w:rsid w:val="00CB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E"/>
  </w:style>
  <w:style w:type="paragraph" w:styleId="3">
    <w:name w:val="heading 3"/>
    <w:basedOn w:val="a"/>
    <w:link w:val="30"/>
    <w:uiPriority w:val="9"/>
    <w:qFormat/>
    <w:rsid w:val="00CB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2019-09-12T04:02:00Z</dcterms:created>
  <dcterms:modified xsi:type="dcterms:W3CDTF">2019-09-12T04:02:00Z</dcterms:modified>
</cp:coreProperties>
</file>