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38" w:rsidRPr="00195438" w:rsidRDefault="00195438" w:rsidP="00195438">
      <w:pPr>
        <w:spacing w:after="0" w:line="240" w:lineRule="auto"/>
        <w:jc w:val="center"/>
        <w:textAlignment w:val="baseline"/>
        <w:rPr>
          <w:rFonts w:ascii="inherit" w:eastAsia="Times New Roman" w:hAnsi="inherit" w:cs="Times New Roman"/>
          <w:sz w:val="19"/>
          <w:szCs w:val="19"/>
          <w:lang w:eastAsia="ru-RU"/>
        </w:rPr>
      </w:pPr>
      <w:r w:rsidRPr="00195438">
        <w:rPr>
          <w:rFonts w:ascii="inherit" w:eastAsia="Times New Roman" w:hAnsi="inherit" w:cs="Times New Roman"/>
          <w:b/>
          <w:bCs/>
          <w:sz w:val="24"/>
          <w:szCs w:val="24"/>
          <w:bdr w:val="none" w:sz="0" w:space="0" w:color="auto" w:frame="1"/>
          <w:lang w:eastAsia="ru-RU"/>
        </w:rPr>
        <w:t>РЕЖИМ И ГРАФИК РАБОТЫ МЕДИЦИНСКИХ РАБОТНИКОВ, УЧАСТВУЮЩИХ В ПРЕДОСТАВЛЕНИИ ПЛАТНЫХ МЕДИЦИНСКИХ УСЛУГ</w:t>
      </w:r>
    </w:p>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    </w:t>
      </w:r>
      <w:r w:rsidRPr="00195438">
        <w:rPr>
          <w:rFonts w:ascii="inherit" w:eastAsia="Times New Roman" w:hAnsi="inherit" w:cs="Times New Roman"/>
          <w:sz w:val="21"/>
          <w:szCs w:val="21"/>
          <w:bdr w:val="none" w:sz="0" w:space="0" w:color="auto" w:frame="1"/>
          <w:lang w:eastAsia="ru-RU"/>
        </w:rPr>
        <w:t>При предоставлении платных медицинских услуг сохраняется установленный режим работы медицинского учреждения, при этом не должны ухудшаться доступность и качество медицинской помощи, оказываемой по программе обязательного медицинского страхования.</w:t>
      </w:r>
    </w:p>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r w:rsidRPr="00195438">
        <w:rPr>
          <w:rFonts w:ascii="inherit" w:eastAsia="Times New Roman" w:hAnsi="inherit" w:cs="Times New Roman"/>
          <w:sz w:val="21"/>
          <w:szCs w:val="21"/>
          <w:bdr w:val="none" w:sz="0" w:space="0" w:color="auto" w:frame="1"/>
          <w:lang w:eastAsia="ru-RU"/>
        </w:rPr>
        <w:t>1. Оказание платных медицинских услуг медицинским персоналом в стационаре осуществляется круглосуточно, по мере необходимости.</w:t>
      </w:r>
    </w:p>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r w:rsidRPr="00195438">
        <w:rPr>
          <w:rFonts w:ascii="inherit" w:eastAsia="Times New Roman" w:hAnsi="inherit" w:cs="Times New Roman"/>
          <w:sz w:val="21"/>
          <w:szCs w:val="21"/>
          <w:bdr w:val="none" w:sz="0" w:space="0" w:color="auto" w:frame="1"/>
          <w:lang w:eastAsia="ru-RU"/>
        </w:rPr>
        <w:t xml:space="preserve">2. Оказание платных медицинских услуг </w:t>
      </w:r>
      <w:proofErr w:type="gramStart"/>
      <w:r w:rsidRPr="00195438">
        <w:rPr>
          <w:rFonts w:ascii="inherit" w:eastAsia="Times New Roman" w:hAnsi="inherit" w:cs="Times New Roman"/>
          <w:sz w:val="21"/>
          <w:szCs w:val="21"/>
          <w:bdr w:val="none" w:sz="0" w:space="0" w:color="auto" w:frame="1"/>
          <w:lang w:eastAsia="ru-RU"/>
        </w:rPr>
        <w:t>в  основное</w:t>
      </w:r>
      <w:proofErr w:type="gramEnd"/>
      <w:r w:rsidRPr="00195438">
        <w:rPr>
          <w:rFonts w:ascii="inherit" w:eastAsia="Times New Roman" w:hAnsi="inherit" w:cs="Times New Roman"/>
          <w:sz w:val="21"/>
          <w:szCs w:val="21"/>
          <w:bdr w:val="none" w:sz="0" w:space="0" w:color="auto" w:frame="1"/>
          <w:lang w:eastAsia="ru-RU"/>
        </w:rPr>
        <w:t xml:space="preserve"> рабочее время  допускается в следующих случаях:</w:t>
      </w:r>
    </w:p>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r w:rsidRPr="00195438">
        <w:rPr>
          <w:rFonts w:ascii="inherit" w:eastAsia="Times New Roman" w:hAnsi="inherit" w:cs="Times New Roman"/>
          <w:sz w:val="21"/>
          <w:szCs w:val="21"/>
          <w:bdr w:val="none" w:sz="0" w:space="0" w:color="auto" w:frame="1"/>
          <w:lang w:eastAsia="ru-RU"/>
        </w:rPr>
        <w:t xml:space="preserve"> -если это не </w:t>
      </w:r>
      <w:proofErr w:type="gramStart"/>
      <w:r w:rsidRPr="00195438">
        <w:rPr>
          <w:rFonts w:ascii="inherit" w:eastAsia="Times New Roman" w:hAnsi="inherit" w:cs="Times New Roman"/>
          <w:sz w:val="21"/>
          <w:szCs w:val="21"/>
          <w:bdr w:val="none" w:sz="0" w:space="0" w:color="auto" w:frame="1"/>
          <w:lang w:eastAsia="ru-RU"/>
        </w:rPr>
        <w:t>создает  препятствий</w:t>
      </w:r>
      <w:proofErr w:type="gramEnd"/>
      <w:r w:rsidRPr="00195438">
        <w:rPr>
          <w:rFonts w:ascii="inherit" w:eastAsia="Times New Roman" w:hAnsi="inherit" w:cs="Times New Roman"/>
          <w:sz w:val="21"/>
          <w:szCs w:val="21"/>
          <w:bdr w:val="none" w:sz="0" w:space="0" w:color="auto" w:frame="1"/>
          <w:lang w:eastAsia="ru-RU"/>
        </w:rPr>
        <w:t xml:space="preserve"> для первоочередного  получения бесплатной медицинской помощи лицам, имеющим на это право;</w:t>
      </w:r>
    </w:p>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r w:rsidRPr="00195438">
        <w:rPr>
          <w:rFonts w:ascii="inherit" w:eastAsia="Times New Roman" w:hAnsi="inherit" w:cs="Times New Roman"/>
          <w:sz w:val="21"/>
          <w:szCs w:val="21"/>
          <w:bdr w:val="none" w:sz="0" w:space="0" w:color="auto" w:frame="1"/>
          <w:lang w:eastAsia="ru-RU"/>
        </w:rPr>
        <w:t xml:space="preserve">- если в силу особенностей процесса </w:t>
      </w:r>
      <w:proofErr w:type="gramStart"/>
      <w:r w:rsidRPr="00195438">
        <w:rPr>
          <w:rFonts w:ascii="inherit" w:eastAsia="Times New Roman" w:hAnsi="inherit" w:cs="Times New Roman"/>
          <w:sz w:val="21"/>
          <w:szCs w:val="21"/>
          <w:bdr w:val="none" w:sz="0" w:space="0" w:color="auto" w:frame="1"/>
          <w:lang w:eastAsia="ru-RU"/>
        </w:rPr>
        <w:t>оказания  медицинской</w:t>
      </w:r>
      <w:proofErr w:type="gramEnd"/>
      <w:r w:rsidRPr="00195438">
        <w:rPr>
          <w:rFonts w:ascii="inherit" w:eastAsia="Times New Roman" w:hAnsi="inherit" w:cs="Times New Roman"/>
          <w:sz w:val="21"/>
          <w:szCs w:val="21"/>
          <w:bdr w:val="none" w:sz="0" w:space="0" w:color="auto" w:frame="1"/>
          <w:lang w:eastAsia="ru-RU"/>
        </w:rPr>
        <w:t xml:space="preserve"> помощи невозможно организовать  предоставление  медицинских услуг за плату во внерабочее время, при этом часы работы медицинского персонала, оказывающего платные медицинские услуги во время основной работы, продлеваются на время, затраченное для их предоставления.</w:t>
      </w:r>
    </w:p>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r w:rsidRPr="00195438">
        <w:rPr>
          <w:rFonts w:ascii="inherit" w:eastAsia="Times New Roman" w:hAnsi="inherit" w:cs="Times New Roman"/>
          <w:sz w:val="21"/>
          <w:szCs w:val="21"/>
          <w:bdr w:val="none" w:sz="0" w:space="0" w:color="auto" w:frame="1"/>
          <w:lang w:eastAsia="ru-RU"/>
        </w:rPr>
        <w:t>3. Медицинские учреждения предоставляют за плату услуги, косвенно связанные с медицинскими услугами (предоставление палат повышенной комфортности) (бытовые и сервисные услуги).</w:t>
      </w:r>
    </w:p>
    <w:tbl>
      <w:tblPr>
        <w:tblW w:w="14295" w:type="dxa"/>
        <w:tblBorders>
          <w:top w:val="single" w:sz="6" w:space="0" w:color="98B9DB"/>
          <w:left w:val="single" w:sz="6" w:space="0" w:color="98B9DB"/>
          <w:bottom w:val="single" w:sz="6" w:space="0" w:color="98B9DB"/>
          <w:right w:val="single" w:sz="6" w:space="0" w:color="98B9DB"/>
        </w:tblBorders>
        <w:tblCellMar>
          <w:left w:w="0" w:type="dxa"/>
          <w:right w:w="0" w:type="dxa"/>
        </w:tblCellMar>
        <w:tblLook w:val="04A0" w:firstRow="1" w:lastRow="0" w:firstColumn="1" w:lastColumn="0" w:noHBand="0" w:noVBand="1"/>
      </w:tblPr>
      <w:tblGrid>
        <w:gridCol w:w="334"/>
        <w:gridCol w:w="3600"/>
        <w:gridCol w:w="3600"/>
        <w:gridCol w:w="1246"/>
        <w:gridCol w:w="1413"/>
        <w:gridCol w:w="1398"/>
        <w:gridCol w:w="1398"/>
        <w:gridCol w:w="1306"/>
      </w:tblGrid>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Специалисты</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Ф.И.О.</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Понедельник</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Вторник</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Среда</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Четверг</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Пятница</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21"/>
                <w:szCs w:val="21"/>
                <w:bdr w:val="none" w:sz="0" w:space="0" w:color="auto" w:frame="1"/>
                <w:lang w:eastAsia="ru-RU"/>
              </w:rPr>
              <w:t>медицинская сестра процедурная</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proofErr w:type="spellStart"/>
            <w:r w:rsidRPr="00195438">
              <w:rPr>
                <w:rFonts w:ascii="inherit" w:eastAsia="Times New Roman" w:hAnsi="inherit" w:cs="Times New Roman"/>
                <w:sz w:val="19"/>
                <w:szCs w:val="19"/>
                <w:lang w:eastAsia="ru-RU"/>
              </w:rPr>
              <w:t>Тян</w:t>
            </w:r>
            <w:proofErr w:type="spellEnd"/>
            <w:r w:rsidRPr="00195438">
              <w:rPr>
                <w:rFonts w:ascii="inherit" w:eastAsia="Times New Roman" w:hAnsi="inherit" w:cs="Times New Roman"/>
                <w:sz w:val="19"/>
                <w:szCs w:val="19"/>
                <w:lang w:eastAsia="ru-RU"/>
              </w:rPr>
              <w:t xml:space="preserve">  Наталья </w:t>
            </w:r>
            <w:proofErr w:type="spellStart"/>
            <w:r w:rsidRPr="00195438">
              <w:rPr>
                <w:rFonts w:ascii="inherit" w:eastAsia="Times New Roman" w:hAnsi="inherit" w:cs="Times New Roman"/>
                <w:sz w:val="19"/>
                <w:szCs w:val="19"/>
                <w:lang w:eastAsia="ru-RU"/>
              </w:rPr>
              <w:t>Сегеевна</w:t>
            </w:r>
            <w:proofErr w:type="spellEnd"/>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2</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Arial" w:eastAsia="Times New Roman" w:hAnsi="Arial" w:cs="Arial"/>
                <w:color w:val="44483D"/>
                <w:sz w:val="21"/>
                <w:szCs w:val="21"/>
                <w:bdr w:val="none" w:sz="0" w:space="0" w:color="auto" w:frame="1"/>
                <w:lang w:eastAsia="ru-RU"/>
              </w:rPr>
              <w:t>медицинская сестра процедурная</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proofErr w:type="spellStart"/>
            <w:r w:rsidRPr="00195438">
              <w:rPr>
                <w:rFonts w:ascii="inherit" w:eastAsia="Times New Roman" w:hAnsi="inherit" w:cs="Times New Roman"/>
                <w:sz w:val="19"/>
                <w:szCs w:val="19"/>
                <w:lang w:eastAsia="ru-RU"/>
              </w:rPr>
              <w:t>Хайленко</w:t>
            </w:r>
            <w:proofErr w:type="spellEnd"/>
            <w:r w:rsidRPr="00195438">
              <w:rPr>
                <w:rFonts w:ascii="inherit" w:eastAsia="Times New Roman" w:hAnsi="inherit" w:cs="Times New Roman"/>
                <w:sz w:val="19"/>
                <w:szCs w:val="19"/>
                <w:lang w:eastAsia="ru-RU"/>
              </w:rPr>
              <w:t xml:space="preserve"> Елена  Витальевна</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10.00-11.00</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3</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лаборант</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Вороная  Татьяна Анатольевна</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4</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лаборант</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proofErr w:type="spellStart"/>
            <w:r w:rsidRPr="00195438">
              <w:rPr>
                <w:rFonts w:ascii="inherit" w:eastAsia="Times New Roman" w:hAnsi="inherit" w:cs="Times New Roman"/>
                <w:sz w:val="19"/>
                <w:szCs w:val="19"/>
                <w:lang w:eastAsia="ru-RU"/>
              </w:rPr>
              <w:t>Люкшина</w:t>
            </w:r>
            <w:proofErr w:type="spellEnd"/>
            <w:r w:rsidRPr="00195438">
              <w:rPr>
                <w:rFonts w:ascii="inherit" w:eastAsia="Times New Roman" w:hAnsi="inherit" w:cs="Times New Roman"/>
                <w:sz w:val="19"/>
                <w:szCs w:val="19"/>
                <w:lang w:eastAsia="ru-RU"/>
              </w:rPr>
              <w:t xml:space="preserve">  </w:t>
            </w:r>
            <w:proofErr w:type="spellStart"/>
            <w:r w:rsidRPr="00195438">
              <w:rPr>
                <w:rFonts w:ascii="inherit" w:eastAsia="Times New Roman" w:hAnsi="inherit" w:cs="Times New Roman"/>
                <w:sz w:val="19"/>
                <w:szCs w:val="19"/>
                <w:lang w:eastAsia="ru-RU"/>
              </w:rPr>
              <w:t>Елеан</w:t>
            </w:r>
            <w:proofErr w:type="spellEnd"/>
            <w:r w:rsidRPr="00195438">
              <w:rPr>
                <w:rFonts w:ascii="inherit" w:eastAsia="Times New Roman" w:hAnsi="inherit" w:cs="Times New Roman"/>
                <w:sz w:val="19"/>
                <w:szCs w:val="19"/>
                <w:lang w:eastAsia="ru-RU"/>
              </w:rPr>
              <w:t xml:space="preserve"> Анатольевна</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5</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лаборант</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proofErr w:type="spellStart"/>
            <w:r w:rsidRPr="00195438">
              <w:rPr>
                <w:rFonts w:ascii="inherit" w:eastAsia="Times New Roman" w:hAnsi="inherit" w:cs="Times New Roman"/>
                <w:sz w:val="19"/>
                <w:szCs w:val="19"/>
                <w:lang w:eastAsia="ru-RU"/>
              </w:rPr>
              <w:t>Рагузина</w:t>
            </w:r>
            <w:proofErr w:type="spellEnd"/>
            <w:r w:rsidRPr="00195438">
              <w:rPr>
                <w:rFonts w:ascii="inherit" w:eastAsia="Times New Roman" w:hAnsi="inherit" w:cs="Times New Roman"/>
                <w:sz w:val="19"/>
                <w:szCs w:val="19"/>
                <w:lang w:eastAsia="ru-RU"/>
              </w:rPr>
              <w:t xml:space="preserve"> Татьяна Александровна</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6</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лаборант</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proofErr w:type="spellStart"/>
            <w:r w:rsidRPr="00195438">
              <w:rPr>
                <w:rFonts w:ascii="inherit" w:eastAsia="Times New Roman" w:hAnsi="inherit" w:cs="Times New Roman"/>
                <w:sz w:val="19"/>
                <w:szCs w:val="19"/>
                <w:lang w:eastAsia="ru-RU"/>
              </w:rPr>
              <w:t>Пузыревская</w:t>
            </w:r>
            <w:proofErr w:type="spellEnd"/>
            <w:r w:rsidRPr="00195438">
              <w:rPr>
                <w:rFonts w:ascii="inherit" w:eastAsia="Times New Roman" w:hAnsi="inherit" w:cs="Times New Roman"/>
                <w:sz w:val="19"/>
                <w:szCs w:val="19"/>
                <w:lang w:eastAsia="ru-RU"/>
              </w:rPr>
              <w:t>  Галина Тимофеевна</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r>
      <w:tr w:rsidR="00195438" w:rsidRPr="00195438" w:rsidTr="00195438">
        <w:tc>
          <w:tcPr>
            <w:tcW w:w="3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7</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биолог</w:t>
            </w:r>
          </w:p>
        </w:tc>
        <w:tc>
          <w:tcPr>
            <w:tcW w:w="355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Гаврилюк Жанна Васильевна</w:t>
            </w:r>
          </w:p>
        </w:tc>
        <w:tc>
          <w:tcPr>
            <w:tcW w:w="123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95"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38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c>
          <w:tcPr>
            <w:tcW w:w="1290" w:type="dxa"/>
            <w:tcBorders>
              <w:top w:val="single" w:sz="6" w:space="0" w:color="98B9DB"/>
              <w:left w:val="single" w:sz="6" w:space="0" w:color="98B9DB"/>
              <w:bottom w:val="single" w:sz="6" w:space="0" w:color="98B9DB"/>
              <w:right w:val="single" w:sz="6" w:space="0" w:color="98B9DB"/>
            </w:tcBorders>
            <w:hideMark/>
          </w:tcPr>
          <w:p w:rsidR="00195438" w:rsidRPr="00195438" w:rsidRDefault="00195438" w:rsidP="00195438">
            <w:pPr>
              <w:spacing w:after="0" w:line="240" w:lineRule="auto"/>
              <w:rPr>
                <w:rFonts w:ascii="inherit" w:eastAsia="Times New Roman" w:hAnsi="inherit" w:cs="Times New Roman"/>
                <w:sz w:val="19"/>
                <w:szCs w:val="19"/>
                <w:lang w:eastAsia="ru-RU"/>
              </w:rPr>
            </w:pPr>
            <w:r w:rsidRPr="00195438">
              <w:rPr>
                <w:rFonts w:ascii="inherit" w:eastAsia="Times New Roman" w:hAnsi="inherit" w:cs="Times New Roman"/>
                <w:sz w:val="19"/>
                <w:szCs w:val="19"/>
                <w:lang w:eastAsia="ru-RU"/>
              </w:rPr>
              <w:t>15.12-16.12</w:t>
            </w:r>
          </w:p>
        </w:tc>
      </w:tr>
    </w:tbl>
    <w:p w:rsidR="00195438" w:rsidRPr="00195438" w:rsidRDefault="00195438" w:rsidP="00195438">
      <w:pPr>
        <w:spacing w:after="0" w:line="240" w:lineRule="auto"/>
        <w:textAlignment w:val="baseline"/>
        <w:rPr>
          <w:rFonts w:ascii="inherit" w:eastAsia="Times New Roman" w:hAnsi="inherit" w:cs="Times New Roman"/>
          <w:vanish/>
          <w:sz w:val="19"/>
          <w:szCs w:val="19"/>
          <w:lang w:eastAsia="ru-RU"/>
        </w:rPr>
      </w:pPr>
    </w:p>
    <w:tbl>
      <w:tblPr>
        <w:tblW w:w="7500" w:type="dxa"/>
        <w:tblBorders>
          <w:top w:val="single" w:sz="6" w:space="0" w:color="98B9DB"/>
          <w:left w:val="single" w:sz="6" w:space="0" w:color="98B9DB"/>
          <w:bottom w:val="single" w:sz="6" w:space="0" w:color="98B9DB"/>
          <w:right w:val="single" w:sz="6" w:space="0" w:color="98B9DB"/>
        </w:tblBorders>
        <w:tblCellMar>
          <w:left w:w="0" w:type="dxa"/>
          <w:right w:w="0" w:type="dxa"/>
        </w:tblCellMar>
        <w:tblLook w:val="04A0" w:firstRow="1" w:lastRow="0" w:firstColumn="1" w:lastColumn="0" w:noHBand="0" w:noVBand="1"/>
      </w:tblPr>
      <w:tblGrid>
        <w:gridCol w:w="7500"/>
      </w:tblGrid>
      <w:tr w:rsidR="00195438" w:rsidRPr="00195438" w:rsidTr="00195438">
        <w:tc>
          <w:tcPr>
            <w:tcW w:w="0" w:type="auto"/>
            <w:tcBorders>
              <w:top w:val="outset" w:sz="6" w:space="0" w:color="auto"/>
              <w:left w:val="outset" w:sz="6" w:space="0" w:color="auto"/>
              <w:bottom w:val="outset" w:sz="6" w:space="0" w:color="auto"/>
              <w:right w:val="outset" w:sz="6" w:space="0" w:color="auto"/>
            </w:tcBorders>
            <w:vAlign w:val="center"/>
            <w:hideMark/>
          </w:tcPr>
          <w:p w:rsidR="00195438" w:rsidRPr="00195438" w:rsidRDefault="00195438" w:rsidP="00195438">
            <w:pPr>
              <w:spacing w:after="0" w:line="240" w:lineRule="auto"/>
              <w:textAlignment w:val="baseline"/>
              <w:rPr>
                <w:rFonts w:ascii="inherit" w:eastAsia="Times New Roman" w:hAnsi="inherit" w:cs="Times New Roman"/>
                <w:sz w:val="19"/>
                <w:szCs w:val="19"/>
                <w:lang w:eastAsia="ru-RU"/>
              </w:rPr>
            </w:pPr>
          </w:p>
        </w:tc>
      </w:tr>
    </w:tbl>
    <w:p w:rsidR="00E468F1" w:rsidRDefault="00E468F1">
      <w:bookmarkStart w:id="0" w:name="_GoBack"/>
      <w:bookmarkEnd w:id="0"/>
    </w:p>
    <w:sectPr w:rsidR="00E468F1" w:rsidSect="001954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49"/>
    <w:rsid w:val="00195438"/>
    <w:rsid w:val="00E33A49"/>
    <w:rsid w:val="00E4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C9BDF-1C64-4032-A2D9-F614F227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5678">
      <w:bodyDiv w:val="1"/>
      <w:marLeft w:val="0"/>
      <w:marRight w:val="0"/>
      <w:marTop w:val="0"/>
      <w:marBottom w:val="0"/>
      <w:divBdr>
        <w:top w:val="none" w:sz="0" w:space="0" w:color="auto"/>
        <w:left w:val="none" w:sz="0" w:space="0" w:color="auto"/>
        <w:bottom w:val="none" w:sz="0" w:space="0" w:color="auto"/>
        <w:right w:val="none" w:sz="0" w:space="0" w:color="auto"/>
      </w:divBdr>
      <w:divsChild>
        <w:div w:id="1781727941">
          <w:marLeft w:val="0"/>
          <w:marRight w:val="0"/>
          <w:marTop w:val="0"/>
          <w:marBottom w:val="0"/>
          <w:divBdr>
            <w:top w:val="none" w:sz="0" w:space="0" w:color="auto"/>
            <w:left w:val="none" w:sz="0" w:space="0" w:color="auto"/>
            <w:bottom w:val="none" w:sz="0" w:space="0" w:color="auto"/>
            <w:right w:val="none" w:sz="0" w:space="0" w:color="auto"/>
          </w:divBdr>
          <w:divsChild>
            <w:div w:id="508372837">
              <w:marLeft w:val="0"/>
              <w:marRight w:val="0"/>
              <w:marTop w:val="0"/>
              <w:marBottom w:val="0"/>
              <w:divBdr>
                <w:top w:val="none" w:sz="0" w:space="0" w:color="auto"/>
                <w:left w:val="none" w:sz="0" w:space="0" w:color="auto"/>
                <w:bottom w:val="none" w:sz="0" w:space="0" w:color="auto"/>
                <w:right w:val="none" w:sz="0" w:space="0" w:color="auto"/>
              </w:divBdr>
              <w:divsChild>
                <w:div w:id="85852194">
                  <w:marLeft w:val="0"/>
                  <w:marRight w:val="0"/>
                  <w:marTop w:val="0"/>
                  <w:marBottom w:val="0"/>
                  <w:divBdr>
                    <w:top w:val="none" w:sz="0" w:space="0" w:color="auto"/>
                    <w:left w:val="none" w:sz="0" w:space="0" w:color="auto"/>
                    <w:bottom w:val="none" w:sz="0" w:space="0" w:color="auto"/>
                    <w:right w:val="none" w:sz="0" w:space="0" w:color="auto"/>
                  </w:divBdr>
                  <w:divsChild>
                    <w:div w:id="907417338">
                      <w:marLeft w:val="0"/>
                      <w:marRight w:val="0"/>
                      <w:marTop w:val="0"/>
                      <w:marBottom w:val="0"/>
                      <w:divBdr>
                        <w:top w:val="none" w:sz="0" w:space="0" w:color="auto"/>
                        <w:left w:val="none" w:sz="0" w:space="0" w:color="auto"/>
                        <w:bottom w:val="none" w:sz="0" w:space="0" w:color="auto"/>
                        <w:right w:val="none" w:sz="0" w:space="0" w:color="auto"/>
                      </w:divBdr>
                      <w:divsChild>
                        <w:div w:id="1587225817">
                          <w:marLeft w:val="0"/>
                          <w:marRight w:val="0"/>
                          <w:marTop w:val="0"/>
                          <w:marBottom w:val="0"/>
                          <w:divBdr>
                            <w:top w:val="none" w:sz="0" w:space="0" w:color="auto"/>
                            <w:left w:val="none" w:sz="0" w:space="0" w:color="auto"/>
                            <w:bottom w:val="none" w:sz="0" w:space="0" w:color="auto"/>
                            <w:right w:val="none" w:sz="0" w:space="0" w:color="auto"/>
                          </w:divBdr>
                          <w:divsChild>
                            <w:div w:id="4527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SPecialiST RePack</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2019-10-13T19:59:00Z</dcterms:created>
  <dcterms:modified xsi:type="dcterms:W3CDTF">2019-10-13T19:59:00Z</dcterms:modified>
</cp:coreProperties>
</file>