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4D" w:rsidRPr="00AF7E4D" w:rsidRDefault="00AF7E4D" w:rsidP="00AF7E4D">
      <w:pPr>
        <w:shd w:val="clear" w:color="auto" w:fill="FFFFFF"/>
        <w:spacing w:after="195" w:line="630" w:lineRule="atLeast"/>
        <w:outlineLvl w:val="0"/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877561"/>
          <w:kern w:val="36"/>
          <w:sz w:val="60"/>
          <w:szCs w:val="60"/>
          <w:lang w:eastAsia="ru-RU"/>
        </w:rPr>
        <w:t>Правила внутреннего распорядка и поведения для пациентов</w:t>
      </w:r>
    </w:p>
    <w:p w:rsidR="00AF7E4D" w:rsidRPr="00AF7E4D" w:rsidRDefault="00AF7E4D" w:rsidP="00AF7E4D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noProof/>
          <w:color w:val="978776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Правила внутреннего распорядка и поведения для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внутреннего распорядка и поведения для паци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Общие положения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1. Внутренний  распорядок для пациентов  регулируется правилами, утвержденными приказом главного врача Санкт-Петербургского государственного бюджетного учреждения здравоохранения «Детская стоматологическая поликлиника№4».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 Правила  внутреннего распорядка и поведения для пациентов включают: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порядок обращения пациента в поликлинику;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права и обязанности пациента;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порядок  разрешения  конфликтных  ситуаций  между  организацией и пациентом;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порядок   предоставления   информации  о  состоянии   здоровья пациента;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порядок  выдачи  справок,  выписок  из медицинской документации пациенту или другим лицам;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график работы  поликлиники и ее  должностных лиц;</w:t>
      </w:r>
    </w:p>
    <w:p w:rsidR="00AF7E4D" w:rsidRPr="00AF7E4D" w:rsidRDefault="00AF7E4D" w:rsidP="00AF7E4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информацию  о  перечне  платных  медицинских услуг и порядке их оказания;</w:t>
      </w:r>
    </w:p>
    <w:p w:rsidR="00AF7E4D" w:rsidRPr="00AF7E4D" w:rsidRDefault="00AF7E4D" w:rsidP="00AF7E4D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3. Правила  внутреннего  распорядка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обязательны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 для всех пациентов, проходящих обследование и лечение в поликлинике.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  Правила  внутреннего  распорядка для 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организации на видном  месте.</w:t>
      </w:r>
    </w:p>
    <w:p w:rsidR="00AF7E4D" w:rsidRPr="00AF7E4D" w:rsidRDefault="00AF7E4D" w:rsidP="00AF7E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Прядок обращения пациентов в поликлинику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2.1. В  целях профилактики заболеваний, своевременной диагностики и лечения в амбулаторных условиях граждане  закрепляются за организациями здравоохранения  по  месту  постоянного  жительства.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2.2. Медицинская помощь населению  осуществляется по территориальному принципу непосредственно в поликлинике. Для получения информации о приеме специалистов можно узнать по телефону регистратуры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417-22-88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(отделение на ул.Зайцева,д.7, кор.2),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417-33-27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(отделение на ул. Маршала Говорова, 15).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2.3.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 xml:space="preserve">При первичном или повторном обращении пациент обязан представить документ, удостоверяющий личность (паспорт, свидетельство о рождении) и 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lastRenderedPageBreak/>
        <w:t>действующий страховой полис.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ФИО (полностью), пол, дата рождения (число, месяц, год), адрес по данным прописки (регистрации) на основании документов, удостоверяющих личность (паспорт, свидетельство о рождении), серия и номер паспорта, свидетельства о рождении, серия и номер страхового медицинского полиса.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Медицинская карта на руки пациенту не выдается, а переносится в кабинет регистратором.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2.4.  Организация предварительной записи пациентов на прием к врачам-специалистам в поликлинике осуществляется при их  непосредственном обращении в поликлинику, через официальный портал записи на прием к врачу Комитета по здравоохранению Администрации СПб (gorzdrav.spb.ru).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2.5.  Информацию о  времени приема врачей всех специальностей, о порядке предварительной записи на прием  к врачам, о времени и месте приема населения главным врачом и его  заместителями, пациент может получить в  справочном в устной форме и наглядно - с помощью информационных стендов, расположенных  в холле учреждения.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2.6. В день приема перед посещением врача пациент обязан получить статистический талон  в регистратуре с предъявлением документа, удостоверяющего личность (паспорта, свидетельства о рождении) и действующего страхового полиса и передать его на приеме врачу или мед.сестре.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2.7. Экстренная госпитализация больных с острой патологией осуществляется путем вызова скорой медицинской помощи.</w:t>
      </w:r>
    </w:p>
    <w:p w:rsidR="00AF7E4D" w:rsidRPr="00AF7E4D" w:rsidRDefault="00AF7E4D" w:rsidP="00AF7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Права и обязанности пациентов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  от 21.11.2011 № 323 «Об основах охраны здоровья граждан в Российской Федерации».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3.1. При обращении за медицинской помощью и ее получении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пациент имеет право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на: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уважительное  и  гуманное  отношение  со  стороны   медицинских работников и других лиц,   участвующих в оказании медицинской помощи;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информацию о фамилии, имени, отчестве, должности и квалификации его  лечащего  врача  и  других  лиц,  непосредственно участвующих в оказании ему медицинской помощи;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обследование,    лечение    и    нахождение    в учреждении здравоохранения  в условиях, соответствующих санитарно-гигиеническим и противоэпидемическим требованиям;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облегчение  боли,  связанной с заболеванием и (или) медицинским вмешательством, доступными способами и средствами;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lastRenderedPageBreak/>
        <w:t>перевод  к  другому  лечащему  врачу  с разрешения руководителя организации здравоохранения (ее структурного подразделения)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при согласии другого врача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обжалование    поставленного   диагноза,  применяемых   методов обследования и лечения;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добровольное  информированное согласие пациента на медицинское вмешательство в соответствии с законодательными актами;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отказ от  оказания  (прекращение)  медицинской  помощи, от госпитализации, за    исключением    случаев, предусмотренных законодательными актами;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обращение    с    жалобой   к  должностным  лицам   учреждения здравоохранения,  в  котором  ему  оказывается медицинская помощь, а также к должностным лицам государственных органов или в суд;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сохранение  медицинскими работниками в тайне информации о факте его обращения за медицинской помощью, состоянии здоровья, диагнозе и иных  сведений,  полученных  при  его  обследовании  и  лечении,  за исключением случаев, предусмотренных законодательными актами;</w:t>
      </w:r>
    </w:p>
    <w:p w:rsidR="00AF7E4D" w:rsidRPr="00AF7E4D" w:rsidRDefault="00AF7E4D" w:rsidP="00AF7E4D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получение  в  доступной  для  него  форме  полной  информации о состоянии   своего  здоровья,  применяемых  методах  диагностики   и лечения,  а  также  на  выбор  лиц,  которым  может  быть   передана информация о состоянии его здоровья;</w:t>
      </w:r>
    </w:p>
    <w:p w:rsidR="00AF7E4D" w:rsidRPr="00AF7E4D" w:rsidRDefault="00AF7E4D" w:rsidP="00AF7E4D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3.2. Пациент обязан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: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соблюдать    правила    внутреннего    распорядка   и поведения для  пациентов;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бережно  относиться  к имуществу учреждения;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представлять  лицу,  оказывающему медицинскую помощь, известную ему  достоверную информацию о состоянии своего здоровья, в том числе о противопоказаниях  к  применению  лекарственных  средств,   ранее перенесенных и наследственных заболеваниях;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выполнять медицинские предписания;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сотрудничать  с  врачом  на  всех  этапах  оказания медицинской помощи;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соблюдать санитарно-гигиенические нормы: (рекомендовано входить на отделения поликлиники в сменной обуви  или бахилах, верхнюю одежду оставлять в гардеробе);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при проведении медицинского вмешательства надевать бахилы, выдаваемые медицинским работником учреждения;</w:t>
      </w:r>
    </w:p>
    <w:p w:rsidR="00AF7E4D" w:rsidRPr="00AF7E4D" w:rsidRDefault="00AF7E4D" w:rsidP="00AF7E4D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соблюдать правила запрета курения в медицинских учреждениях согласно ФЗ №87 «Об ограничении курения табака».</w:t>
      </w:r>
    </w:p>
    <w:p w:rsidR="00AF7E4D" w:rsidRPr="00AF7E4D" w:rsidRDefault="00AF7E4D" w:rsidP="00AF7E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Прядок разрешения конфликтов между пациентом и поликлиникой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lastRenderedPageBreak/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4.1. В   случае   конфликтных  ситуаций  пациент (его законный представитель)  имеет   право непосредственно обратиться  в  администрацию 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 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F7E4D" w:rsidRPr="00AF7E4D" w:rsidRDefault="00AF7E4D" w:rsidP="00AF7E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Порядок получения информации о состоянии здоровья пациента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lastRenderedPageBreak/>
        <w:t>5.2.  В отношении несовершеннолетних и лиц, признанных в установленном законом порядке  недееспособными, информация о состоянии здоровья пациента предоставляется их законному представителю, а в отношении  пациентов, по состоянию здоровья неспособных принять осознанное решение, - супругу (ге), а при его (ее) отсутствии - близким родственникам.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5.3. В   случае  отказа  пациента  от  получения  информации о состоянии    своего  здоровья  делается  соответствующая  запись  в медицинской документации.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5.4. Информация,    содержащаяся  в  медицинской   документации, составляет  врачебную  тайну  и  может  предоставляться без согласия пациента  только  по  основаниям,  предусмотренным  законодательными актами.</w:t>
      </w:r>
    </w:p>
    <w:p w:rsidR="00AF7E4D" w:rsidRPr="00AF7E4D" w:rsidRDefault="00AF7E4D" w:rsidP="00AF7E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6.1. Порядок    выдачи   документов,  удостоверяющих   временную нетрудоспособность, а  также  выписок  из  медицинской документации утверждается Министерством здравоохранения и социального развития Российской Федерации.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6.2. В  случае    заболевания  учащихся,  студентов   средних, специальных  и высших учебных заведений для освобождения их от учебы выдается справка установленной формы.</w:t>
      </w:r>
    </w:p>
    <w:p w:rsidR="00AF7E4D" w:rsidRPr="00AF7E4D" w:rsidRDefault="00AF7E4D" w:rsidP="00AF7E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График работы поликлиники и ее должностных лиц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7.1. График  работы  поликлиники и ее должностных лиц    определяется   правилами  внутреннего  трудового   распорядка поликлиники  с  учетом  ограничений,  установленных Трудовым  кодексом Российской Федерации.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7.2. Режим  работы поликлиники и ее должностных лиц  определяет  время  начала  и  окончания рабочего дня (смены), а также  рабочие  и выходные дни, время обеденного и других перерывов, последовательность  чередования  работы  по  сменам, а также рабочее время должностных лиц.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7.3. Индивидуальные    нормы   нагрузки  персонала (график   работы)   устанавливаются главным врачом  в соответствии с типовыми должностными инструкциями персонала организации здравоохранения и по согласованию с профсоюзными органами. График  и режим  работы  утверждаются  главным врачом.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7.4. Прием населения (больных и их родственников) главным врачом или его заместителями осуществляется в установленные  часы  приема. Информацию о часах приема можно узнать в справочном окне или на стенде рядом с регистратурой.</w:t>
      </w:r>
    </w:p>
    <w:p w:rsidR="00AF7E4D" w:rsidRPr="00AF7E4D" w:rsidRDefault="00AF7E4D" w:rsidP="00AF7E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Информация о перечне видов платных медицинских услуг и порядке их оказания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 xml:space="preserve">8.1. Перечень    платных  видов  медицинской  помощи  и   услуг, оказываемых населению а  также  порядок  и  условия  их   предоставления населению  определяются Положением об оказании платных услуг СПб ГБУЗ «Детская стоматологическая поликлиника №4», распоряжением Комитета по здравоохранению правительства Санкт-Петербурга от 4 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lastRenderedPageBreak/>
        <w:t>апреля 2005 г. № 112-р «О порядке предоставления платных медицинских услуг», а так же законодательством Российской Федерации.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8.2. Стоимость  платных  медицинских услуг определяется калькуляцией с учетом всех расходов, связанных с предоставлением этих услуг.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8.3. Информация  о  платных  видах  медицинской  помощи и услуг, оказываемых населению поликлиникой, а  также  порядок  и условия их предоставления населению размещены  на  информационных  стендах, сайте поликлиники.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8.4. Учреждение обязано  обеспечить   граждан доступной  и  достоверной  информацией  о   перечне платных  медицинских услуг с указанием их стоимости, условиях предоставления услуг, включая сведения о льготах для отдельных категорий граждан.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8.5. 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8.7. Оплата медицинских услуг </w:t>
      </w: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не предоставляет</w:t>
      </w:r>
      <w:r w:rsidRPr="00AF7E4D"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  <w:t> 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AF7E4D" w:rsidRPr="00AF7E4D" w:rsidRDefault="00AF7E4D" w:rsidP="00AF7E4D">
      <w:pPr>
        <w:shd w:val="clear" w:color="auto" w:fill="FFFFFF"/>
        <w:spacing w:after="225" w:line="240" w:lineRule="auto"/>
        <w:rPr>
          <w:rFonts w:ascii="Ubuntu" w:eastAsia="Times New Roman" w:hAnsi="Ubuntu" w:cs="Times New Roman"/>
          <w:color w:val="978776"/>
          <w:sz w:val="24"/>
          <w:szCs w:val="24"/>
          <w:lang w:eastAsia="ru-RU"/>
        </w:rPr>
      </w:pPr>
      <w:r w:rsidRPr="00AF7E4D">
        <w:rPr>
          <w:rFonts w:ascii="Ubuntu" w:eastAsia="Times New Roman" w:hAnsi="Ubuntu" w:cs="Times New Roman"/>
          <w:b/>
          <w:bCs/>
          <w:color w:val="978776"/>
          <w:sz w:val="24"/>
          <w:szCs w:val="24"/>
          <w:lang w:eastAsia="ru-RU"/>
        </w:rPr>
        <w:t>Посетители, нарушившие данные правила внутреннего распорядка несут ответственность в соответствии с Российским  законодательством</w:t>
      </w:r>
    </w:p>
    <w:p w:rsidR="00CD6005" w:rsidRDefault="00CD6005">
      <w:bookmarkStart w:id="0" w:name="_GoBack"/>
      <w:bookmarkEnd w:id="0"/>
    </w:p>
    <w:sectPr w:rsidR="00C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ECD"/>
    <w:multiLevelType w:val="multilevel"/>
    <w:tmpl w:val="BFB07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842E4"/>
    <w:multiLevelType w:val="multilevel"/>
    <w:tmpl w:val="EAC05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F3B53"/>
    <w:multiLevelType w:val="multilevel"/>
    <w:tmpl w:val="1DC0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77E"/>
    <w:multiLevelType w:val="multilevel"/>
    <w:tmpl w:val="C384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C1C5F"/>
    <w:multiLevelType w:val="multilevel"/>
    <w:tmpl w:val="2C46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E08B5"/>
    <w:multiLevelType w:val="multilevel"/>
    <w:tmpl w:val="8D7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5674C"/>
    <w:multiLevelType w:val="multilevel"/>
    <w:tmpl w:val="51DCD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04AFB"/>
    <w:multiLevelType w:val="multilevel"/>
    <w:tmpl w:val="74E02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7077B"/>
    <w:multiLevelType w:val="multilevel"/>
    <w:tmpl w:val="3CD40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26659"/>
    <w:multiLevelType w:val="multilevel"/>
    <w:tmpl w:val="464E7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E3"/>
    <w:rsid w:val="00755FE3"/>
    <w:rsid w:val="00AF7E4D"/>
    <w:rsid w:val="00C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3874-A7B3-4B13-AC98-E9D5E103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6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5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2019-11-11T14:47:00Z</dcterms:created>
  <dcterms:modified xsi:type="dcterms:W3CDTF">2019-11-11T14:47:00Z</dcterms:modified>
</cp:coreProperties>
</file>