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53" w:rsidRPr="00520853" w:rsidRDefault="00520853" w:rsidP="00520853">
      <w:pPr>
        <w:shd w:val="clear" w:color="auto" w:fill="FFFFFF"/>
        <w:spacing w:before="360" w:after="360" w:line="336" w:lineRule="atLeast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520853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Кабинет предназначен для оказания ультразвуковых исследований на амбулаторно-поликлиническом уровне на диагностических аппаратах Acuson Х 300 Premium Edition с принадлежностями и портативной ультразвуковой системы Logic Book с полным комплектом датчиков для кабинета неотложного УЗИ. В состав  кабинета УЗД входят два  кабинета ультразвуковой   диагностики, в которых работают  высококвалифицированные специалисты, имеющие широкий спектр навыков работы УЗИ. Это позволяет решать широкий круг диагностических задач – от выявления минимальных патологических изменений в организме  до уточняющей диагностики при развернутом обследовании больного.</w:t>
      </w:r>
    </w:p>
    <w:p w:rsidR="00520853" w:rsidRPr="00520853" w:rsidRDefault="00520853" w:rsidP="00520853">
      <w:pPr>
        <w:shd w:val="clear" w:color="auto" w:fill="FFFFFF"/>
        <w:spacing w:before="360" w:after="360" w:line="336" w:lineRule="atLeast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520853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В целях преемственности диагностического процесса на амбулаторном и госпитальном этапах, в кабинете УЗД совместно с постоянным врачом работают специалисты отделения ультразвуковой диагностики БМТ, в том числе заведующий отделением УЗД Егорова Светлана Валентиновна курирует проводимые в хирургическом отделении поликлиники ультразвуковое сопровождение при пункциях  щитовидной и молочных желез, лимфоузлов, мягких тканей, предстательной железы.</w:t>
      </w:r>
    </w:p>
    <w:p w:rsidR="00520853" w:rsidRPr="00520853" w:rsidRDefault="00520853" w:rsidP="00520853">
      <w:pPr>
        <w:shd w:val="clear" w:color="auto" w:fill="FFFFFF"/>
        <w:spacing w:after="0" w:line="336" w:lineRule="atLeast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520853">
        <w:rPr>
          <w:rFonts w:ascii="inherit" w:eastAsia="Times New Roman" w:hAnsi="inherit" w:cs="Times New Roman"/>
          <w:b/>
          <w:bCs/>
          <w:color w:val="323232"/>
          <w:sz w:val="23"/>
          <w:szCs w:val="23"/>
          <w:bdr w:val="none" w:sz="0" w:space="0" w:color="auto" w:frame="1"/>
          <w:lang w:eastAsia="ru-RU"/>
        </w:rPr>
        <w:t>Методики и технологии:</w:t>
      </w:r>
    </w:p>
    <w:p w:rsidR="00520853" w:rsidRPr="00520853" w:rsidRDefault="00520853" w:rsidP="00520853">
      <w:pPr>
        <w:numPr>
          <w:ilvl w:val="0"/>
          <w:numId w:val="1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520853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УЗИ органов брюшной полости и почек, надпочечников;</w:t>
      </w:r>
    </w:p>
    <w:p w:rsidR="00520853" w:rsidRPr="00520853" w:rsidRDefault="00520853" w:rsidP="00520853">
      <w:pPr>
        <w:numPr>
          <w:ilvl w:val="0"/>
          <w:numId w:val="1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520853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УЗИ в гинекологии (включая полостной датчик)</w:t>
      </w:r>
    </w:p>
    <w:p w:rsidR="00520853" w:rsidRPr="00520853" w:rsidRDefault="00520853" w:rsidP="00520853">
      <w:pPr>
        <w:numPr>
          <w:ilvl w:val="0"/>
          <w:numId w:val="1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520853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УЗИ в урологии (включая полостной датчик)</w:t>
      </w:r>
    </w:p>
    <w:p w:rsidR="00520853" w:rsidRPr="00520853" w:rsidRDefault="00520853" w:rsidP="00520853">
      <w:pPr>
        <w:numPr>
          <w:ilvl w:val="0"/>
          <w:numId w:val="1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520853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УЗИ щитовидной железы с лимфоузлами и васкуляризацией;</w:t>
      </w:r>
    </w:p>
    <w:p w:rsidR="00520853" w:rsidRPr="00520853" w:rsidRDefault="00520853" w:rsidP="00520853">
      <w:pPr>
        <w:numPr>
          <w:ilvl w:val="0"/>
          <w:numId w:val="1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520853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УЗИ молочных желез с лимфоузлами;</w:t>
      </w:r>
    </w:p>
    <w:p w:rsidR="00520853" w:rsidRPr="00520853" w:rsidRDefault="00520853" w:rsidP="00520853">
      <w:pPr>
        <w:numPr>
          <w:ilvl w:val="0"/>
          <w:numId w:val="1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520853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УЗИ органов мошонки;</w:t>
      </w:r>
    </w:p>
    <w:p w:rsidR="00520853" w:rsidRPr="00520853" w:rsidRDefault="00520853" w:rsidP="00520853">
      <w:pPr>
        <w:numPr>
          <w:ilvl w:val="0"/>
          <w:numId w:val="1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520853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УЗИ суставов (бурситы, гемартрозы, синовиты и т.д.)</w:t>
      </w:r>
    </w:p>
    <w:p w:rsidR="00520853" w:rsidRPr="00520853" w:rsidRDefault="00520853" w:rsidP="00520853">
      <w:pPr>
        <w:numPr>
          <w:ilvl w:val="0"/>
          <w:numId w:val="1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520853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УЗИ мягких тканей любой локализации (липомы, фибромы, посттравматические гематомы, постинъекционные абсцессы, гигромы, парапроктиты и т.д.)</w:t>
      </w:r>
    </w:p>
    <w:p w:rsidR="00520853" w:rsidRPr="00520853" w:rsidRDefault="00520853" w:rsidP="00520853">
      <w:pPr>
        <w:numPr>
          <w:ilvl w:val="0"/>
          <w:numId w:val="1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520853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Трансвагинальное УЗИ малого таза с оценкой состояния кровотока по венам параметрия</w:t>
      </w:r>
    </w:p>
    <w:p w:rsidR="00520853" w:rsidRPr="00520853" w:rsidRDefault="00520853" w:rsidP="00520853">
      <w:pPr>
        <w:numPr>
          <w:ilvl w:val="0"/>
          <w:numId w:val="1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520853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Трансректальное УЗИ малого таза с оценкой кровотока в простате (онкология, абсцессы и др.)</w:t>
      </w:r>
    </w:p>
    <w:p w:rsidR="00520853" w:rsidRPr="00520853" w:rsidRDefault="00520853" w:rsidP="00520853">
      <w:pPr>
        <w:numPr>
          <w:ilvl w:val="0"/>
          <w:numId w:val="1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520853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Мультифокальная трансректальная пункционная биопсия простаты под контролем УЗИ (при подозрении на онкопатологию простаты, повышении уровня PSA в крови)</w:t>
      </w:r>
    </w:p>
    <w:p w:rsidR="00520853" w:rsidRPr="00520853" w:rsidRDefault="00520853" w:rsidP="00520853">
      <w:pPr>
        <w:numPr>
          <w:ilvl w:val="0"/>
          <w:numId w:val="1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520853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Пункционная биопсия кист яичников, щитовидной железы, печени, поджелудочной железы под контролем УЗИ</w:t>
      </w:r>
    </w:p>
    <w:p w:rsidR="00520853" w:rsidRPr="00520853" w:rsidRDefault="00520853" w:rsidP="00520853">
      <w:pPr>
        <w:numPr>
          <w:ilvl w:val="0"/>
          <w:numId w:val="1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520853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lastRenderedPageBreak/>
        <w:t>УЗИ сосудов (допплерография) брюшной полости,</w:t>
      </w:r>
    </w:p>
    <w:p w:rsidR="00520853" w:rsidRPr="00520853" w:rsidRDefault="00520853" w:rsidP="00520853">
      <w:pPr>
        <w:numPr>
          <w:ilvl w:val="0"/>
          <w:numId w:val="1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520853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Допплерография портального тракта при циррозе печени;</w:t>
      </w:r>
    </w:p>
    <w:p w:rsidR="00520853" w:rsidRPr="00520853" w:rsidRDefault="00520853" w:rsidP="00520853">
      <w:pPr>
        <w:numPr>
          <w:ilvl w:val="0"/>
          <w:numId w:val="1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520853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Пункционная биопсия под контролем УЗ-навигации (лечебная и диагностическая)</w:t>
      </w:r>
    </w:p>
    <w:p w:rsidR="00520853" w:rsidRPr="00520853" w:rsidRDefault="00520853" w:rsidP="00520853">
      <w:pPr>
        <w:numPr>
          <w:ilvl w:val="0"/>
          <w:numId w:val="1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520853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Допплерография брахиоцефальных артерий и сосудов головного мозга, артерий верхних и нижних конечностей, вен верхних и нижних конечностей</w:t>
      </w:r>
    </w:p>
    <w:p w:rsidR="00520853" w:rsidRPr="00520853" w:rsidRDefault="00520853" w:rsidP="00520853">
      <w:pPr>
        <w:numPr>
          <w:ilvl w:val="0"/>
          <w:numId w:val="1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520853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Дуплексное и триплексное сканирование сосудов шеи и головы, артерий нижних конечностей, вен нижних конечностей</w:t>
      </w:r>
    </w:p>
    <w:p w:rsidR="004E0BD0" w:rsidRDefault="004E0BD0">
      <w:bookmarkStart w:id="0" w:name="_GoBack"/>
      <w:bookmarkEnd w:id="0"/>
    </w:p>
    <w:sectPr w:rsidR="004E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neuecyrroma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2B15"/>
    <w:multiLevelType w:val="multilevel"/>
    <w:tmpl w:val="16E8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41"/>
    <w:rsid w:val="00032941"/>
    <w:rsid w:val="004E0BD0"/>
    <w:rsid w:val="0052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56282-F536-4647-B23F-C7DF0522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08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0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2019-08-29T09:45:00Z</dcterms:created>
  <dcterms:modified xsi:type="dcterms:W3CDTF">2019-08-29T09:45:00Z</dcterms:modified>
</cp:coreProperties>
</file>