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F" w:rsidRPr="00E9385F" w:rsidRDefault="00E9385F" w:rsidP="00E9385F">
      <w:pPr>
        <w:shd w:val="clear" w:color="auto" w:fill="FFFFFF"/>
        <w:spacing w:before="100" w:beforeAutospacing="1" w:after="100" w:afterAutospacing="1" w:line="300" w:lineRule="atLeast"/>
        <w:jc w:val="center"/>
        <w:textAlignment w:val="baseline"/>
        <w:rPr>
          <w:rFonts w:ascii="PTSansRegular" w:eastAsia="Times New Roman" w:hAnsi="PTSansRegular" w:cs="Times New Roman"/>
          <w:color w:val="000000"/>
          <w:spacing w:val="6"/>
          <w:sz w:val="23"/>
          <w:szCs w:val="23"/>
          <w:lang w:eastAsia="ru-RU"/>
        </w:rPr>
      </w:pPr>
      <w:r w:rsidRPr="00E9385F">
        <w:rPr>
          <w:rFonts w:ascii="PTSansRegular" w:eastAsia="Times New Roman" w:hAnsi="PTSansRegular" w:cs="Times New Roman"/>
          <w:b/>
          <w:bCs/>
          <w:color w:val="000000"/>
          <w:spacing w:val="6"/>
          <w:sz w:val="23"/>
          <w:szCs w:val="23"/>
          <w:bdr w:val="none" w:sz="0" w:space="0" w:color="auto" w:frame="1"/>
          <w:lang w:eastAsia="ru-RU"/>
        </w:rPr>
        <w:t>Положение об организации работ по оказанию платных медицинских услуг ФГАУ «Лечебно-реабилитационный центр» Министерства здравоохранения Российской Федерации</w:t>
      </w:r>
    </w:p>
    <w:p w:rsidR="00E9385F" w:rsidRPr="00E9385F" w:rsidRDefault="00E9385F" w:rsidP="00E9385F">
      <w:pPr>
        <w:shd w:val="clear" w:color="auto" w:fill="FFFFFF"/>
        <w:spacing w:before="100" w:beforeAutospacing="1" w:after="100" w:afterAutospacing="1" w:line="300" w:lineRule="atLeast"/>
        <w:jc w:val="center"/>
        <w:textAlignment w:val="baseline"/>
        <w:rPr>
          <w:rFonts w:ascii="PTSansRegular" w:eastAsia="Times New Roman" w:hAnsi="PTSansRegular" w:cs="Times New Roman"/>
          <w:color w:val="000000"/>
          <w:spacing w:val="6"/>
          <w:sz w:val="23"/>
          <w:szCs w:val="23"/>
          <w:lang w:eastAsia="ru-RU"/>
        </w:rPr>
      </w:pPr>
      <w:r w:rsidRPr="00E9385F">
        <w:rPr>
          <w:rFonts w:ascii="PTSansRegular" w:eastAsia="Times New Roman" w:hAnsi="PTSansRegular" w:cs="Times New Roman"/>
          <w:b/>
          <w:bCs/>
          <w:color w:val="000000"/>
          <w:spacing w:val="6"/>
          <w:sz w:val="23"/>
          <w:szCs w:val="23"/>
          <w:bdr w:val="none" w:sz="0" w:space="0" w:color="auto" w:frame="1"/>
          <w:lang w:eastAsia="ru-RU"/>
        </w:rPr>
        <w:t>1. Общие положения</w:t>
      </w:r>
    </w:p>
    <w:p w:rsidR="00E9385F" w:rsidRPr="00E9385F" w:rsidRDefault="00E9385F" w:rsidP="00E9385F">
      <w:pPr>
        <w:numPr>
          <w:ilvl w:val="0"/>
          <w:numId w:val="1"/>
        </w:numPr>
        <w:shd w:val="clear" w:color="auto" w:fill="FFFFFF"/>
        <w:spacing w:before="100" w:beforeAutospacing="1" w:after="240"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Настоящие </w:t>
      </w:r>
      <w:hyperlink r:id="rId5" w:tgtFrame="_blank" w:history="1">
        <w:r w:rsidRPr="00E9385F">
          <w:rPr>
            <w:rFonts w:ascii="PTSansRegular" w:eastAsia="Times New Roman" w:hAnsi="PTSansRegular" w:cs="Times New Roman"/>
            <w:color w:val="096CB6"/>
            <w:sz w:val="23"/>
            <w:szCs w:val="23"/>
            <w:u w:val="single"/>
            <w:bdr w:val="none" w:sz="0" w:space="0" w:color="auto" w:frame="1"/>
            <w:lang w:eastAsia="ru-RU"/>
          </w:rPr>
          <w:t>Положение определяют Правила и условия предоставления медицинскими организациями гражданам платных медицинских услуг в соответствии с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w:t>
        </w:r>
      </w:hyperlink>
      <w:r w:rsidRPr="00E9385F">
        <w:rPr>
          <w:rFonts w:ascii="PTSansRegular" w:eastAsia="Times New Roman" w:hAnsi="PTSansRegular" w:cs="Times New Roman"/>
          <w:color w:val="000000"/>
          <w:sz w:val="23"/>
          <w:szCs w:val="23"/>
          <w:lang w:eastAsia="ru-RU"/>
        </w:rPr>
        <w:t>, с Уставом и действующей лицензией, выданной Федеральной службой по надзору в сфере здравоохранения и социального развития, дающей право на разрешенные виды медицинской деятельности.</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Для целей настоящих Правил используются следующие основные понятия:</w:t>
      </w:r>
    </w:p>
    <w:p w:rsidR="00E9385F" w:rsidRPr="00E9385F" w:rsidRDefault="00E9385F" w:rsidP="00E9385F">
      <w:pPr>
        <w:shd w:val="clear" w:color="auto" w:fill="FFFFFF"/>
        <w:spacing w:before="100" w:beforeAutospacing="1" w:after="100" w:afterAutospacing="1" w:line="300" w:lineRule="atLeast"/>
        <w:ind w:left="450"/>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color w:val="545B63"/>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E9385F">
        <w:rPr>
          <w:rFonts w:ascii="PTSansRegular" w:eastAsia="Times New Roman" w:hAnsi="PTSansRegular" w:cs="Times New Roman"/>
          <w:color w:val="545B63"/>
          <w:sz w:val="23"/>
          <w:szCs w:val="23"/>
          <w:lang w:eastAsia="ru-RU"/>
        </w:rPr>
        <w:br/>
      </w:r>
      <w:r w:rsidRPr="00E9385F">
        <w:rPr>
          <w:rFonts w:ascii="PTSansRegular" w:eastAsia="Times New Roman" w:hAnsi="PTSansRegular" w:cs="Times New Roman"/>
          <w:color w:val="545B63"/>
          <w:sz w:val="23"/>
          <w:szCs w:val="23"/>
          <w:lang w:eastAsia="ru-RU"/>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E9385F">
        <w:rPr>
          <w:rFonts w:ascii="PTSansRegular" w:eastAsia="Times New Roman" w:hAnsi="PTSansRegular" w:cs="Times New Roman"/>
          <w:color w:val="545B63"/>
          <w:sz w:val="23"/>
          <w:szCs w:val="23"/>
          <w:lang w:eastAsia="ru-RU"/>
        </w:rPr>
        <w:br/>
      </w:r>
      <w:r w:rsidRPr="00E9385F">
        <w:rPr>
          <w:rFonts w:ascii="PTSansRegular" w:eastAsia="Times New Roman" w:hAnsi="PTSansRegular" w:cs="Times New Roman"/>
          <w:color w:val="545B63"/>
          <w:sz w:val="23"/>
          <w:szCs w:val="23"/>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E9385F">
        <w:rPr>
          <w:rFonts w:ascii="PTSansRegular" w:eastAsia="Times New Roman" w:hAnsi="PTSansRegular" w:cs="Times New Roman"/>
          <w:color w:val="545B63"/>
          <w:sz w:val="23"/>
          <w:szCs w:val="23"/>
          <w:lang w:eastAsia="ru-RU"/>
        </w:rPr>
        <w:br/>
      </w:r>
      <w:r w:rsidRPr="00E9385F">
        <w:rPr>
          <w:rFonts w:ascii="PTSansRegular" w:eastAsia="Times New Roman" w:hAnsi="PTSansRegular" w:cs="Times New Roman"/>
          <w:color w:val="545B63"/>
          <w:sz w:val="23"/>
          <w:szCs w:val="23"/>
          <w:lang w:eastAsia="ru-RU"/>
        </w:rPr>
        <w:br/>
        <w:t>"исполнитель" - медицинская организация, предоставляющая платные медицинские услуги потребителям.</w:t>
      </w:r>
      <w:r w:rsidRPr="00E9385F">
        <w:rPr>
          <w:rFonts w:ascii="PTSansRegular" w:eastAsia="Times New Roman" w:hAnsi="PTSansRegular" w:cs="Times New Roman"/>
          <w:color w:val="545B63"/>
          <w:sz w:val="23"/>
          <w:szCs w:val="23"/>
          <w:lang w:eastAsia="ru-RU"/>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Настоящие Правила в наглядной и доступной форме доводятся исполнителем до сведения потребителя (заказчика).</w:t>
      </w:r>
    </w:p>
    <w:p w:rsidR="00E9385F" w:rsidRPr="00E9385F" w:rsidRDefault="00E9385F" w:rsidP="00E9385F">
      <w:pPr>
        <w:shd w:val="clear" w:color="auto" w:fill="FFFFFF"/>
        <w:spacing w:before="100" w:beforeAutospacing="1" w:after="100" w:afterAutospacing="1" w:line="300" w:lineRule="atLeast"/>
        <w:ind w:left="450"/>
        <w:jc w:val="center"/>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color w:val="545B63"/>
          <w:sz w:val="23"/>
          <w:szCs w:val="23"/>
          <w:lang w:eastAsia="ru-RU"/>
        </w:rPr>
        <w:t>Настоящее Положение определяет:</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Условия предоставления платных медицинских услуг</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lastRenderedPageBreak/>
        <w:t>Информация об исполнителе и предоставляемых им медицинских услугах</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Порядок заключения договора и оплаты медицинских услуг</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Порядок предоставления платных медицинских услуг</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Порядок организации работ по оказанию платных медицинских услуг</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Порядок учета;</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Порядок распределения полученных средств за оказанные платные медицинские услуги.</w:t>
      </w:r>
    </w:p>
    <w:p w:rsidR="00E9385F" w:rsidRPr="00E9385F" w:rsidRDefault="00E9385F" w:rsidP="00E9385F">
      <w:pPr>
        <w:shd w:val="clear" w:color="auto" w:fill="FFFFFF"/>
        <w:spacing w:before="100" w:beforeAutospacing="1" w:after="100" w:afterAutospacing="1" w:line="300" w:lineRule="atLeast"/>
        <w:ind w:left="450"/>
        <w:jc w:val="center"/>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b/>
          <w:bCs/>
          <w:color w:val="545B63"/>
          <w:sz w:val="23"/>
          <w:szCs w:val="23"/>
          <w:bdr w:val="none" w:sz="0" w:space="0" w:color="auto" w:frame="1"/>
          <w:lang w:eastAsia="ru-RU"/>
        </w:rPr>
        <w:br/>
        <w:t>2. Условия предоставления платных медицинских услуг</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E9385F">
        <w:rPr>
          <w:rFonts w:ascii="PTSansRegular" w:eastAsia="Times New Roman" w:hAnsi="PTSansRegular" w:cs="Times New Roman"/>
          <w:color w:val="000000"/>
          <w:sz w:val="23"/>
          <w:szCs w:val="23"/>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ФГАУ «Лечебно-реабилитационный центр» (далее Центр), участвующий в реализации программы и территориальной программы, имеет право предоставлять платные медицинские услуги:</w:t>
      </w:r>
    </w:p>
    <w:p w:rsidR="00E9385F" w:rsidRPr="00E9385F" w:rsidRDefault="00E9385F" w:rsidP="00E9385F">
      <w:pPr>
        <w:shd w:val="clear" w:color="auto" w:fill="FFFFFF"/>
        <w:spacing w:before="100" w:beforeAutospacing="1" w:after="100" w:afterAutospacing="1" w:line="300" w:lineRule="atLeast"/>
        <w:ind w:left="450"/>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color w:val="545B63"/>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E9385F">
        <w:rPr>
          <w:rFonts w:ascii="PTSansRegular" w:eastAsia="Times New Roman" w:hAnsi="PTSansRegular" w:cs="Times New Roman"/>
          <w:color w:val="545B63"/>
          <w:sz w:val="23"/>
          <w:szCs w:val="23"/>
          <w:lang w:eastAsia="ru-RU"/>
        </w:rPr>
        <w:br/>
        <w:t>-установление индивидуального поста медицинского наблюдения при лечении в условиях стационара;</w:t>
      </w:r>
      <w:r w:rsidRPr="00E9385F">
        <w:rPr>
          <w:rFonts w:ascii="PTSansRegular" w:eastAsia="Times New Roman" w:hAnsi="PTSansRegular" w:cs="Times New Roman"/>
          <w:color w:val="545B63"/>
          <w:sz w:val="23"/>
          <w:szCs w:val="23"/>
          <w:lang w:eastAsia="ru-RU"/>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E9385F">
        <w:rPr>
          <w:rFonts w:ascii="PTSansRegular" w:eastAsia="Times New Roman" w:hAnsi="PTSansRegular" w:cs="Times New Roman"/>
          <w:color w:val="545B63"/>
          <w:sz w:val="23"/>
          <w:szCs w:val="23"/>
          <w:lang w:eastAsia="ru-RU"/>
        </w:rPr>
        <w:br/>
        <w:t>б) при предоставлении медицинских услуг анонимно, за исключением случаев, предусмотренных законодательством Российской Федерации;</w:t>
      </w:r>
      <w:r w:rsidRPr="00E9385F">
        <w:rPr>
          <w:rFonts w:ascii="PTSansRegular" w:eastAsia="Times New Roman" w:hAnsi="PTSansRegular" w:cs="Times New Roman"/>
          <w:color w:val="545B63"/>
          <w:sz w:val="23"/>
          <w:szCs w:val="23"/>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E9385F">
        <w:rPr>
          <w:rFonts w:ascii="PTSansRegular" w:eastAsia="Times New Roman" w:hAnsi="PTSansRegular" w:cs="Times New Roman"/>
          <w:color w:val="545B63"/>
          <w:sz w:val="23"/>
          <w:szCs w:val="23"/>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Порядок определения цен (тарифов) на медицинские услуги, предоставляемые Центром, устанавливается Минздравом РФ.</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lastRenderedPageBreak/>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9385F" w:rsidRPr="00E9385F" w:rsidRDefault="00E9385F" w:rsidP="00E9385F">
      <w:pPr>
        <w:shd w:val="clear" w:color="auto" w:fill="FFFFFF"/>
        <w:spacing w:before="100" w:beforeAutospacing="1" w:after="100" w:afterAutospacing="1" w:line="300" w:lineRule="atLeast"/>
        <w:ind w:left="450"/>
        <w:jc w:val="center"/>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b/>
          <w:bCs/>
          <w:color w:val="545B63"/>
          <w:sz w:val="23"/>
          <w:szCs w:val="23"/>
          <w:bdr w:val="none" w:sz="0" w:space="0" w:color="auto" w:frame="1"/>
          <w:lang w:eastAsia="ru-RU"/>
        </w:rPr>
        <w:t>3. Информация об исполнителе и предоставляемых им медицинских услугах</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Центр обязан предоставить посредством размещения на своем сайте в информационно-телекоммуникационной сети "Интернет", а также на информационных стендах (стойках) Центра информацию, содержащуюследующие сведения:</w:t>
      </w:r>
      <w:r w:rsidRPr="00E9385F">
        <w:rPr>
          <w:rFonts w:ascii="PTSansRegular" w:eastAsia="Times New Roman" w:hAnsi="PTSansRegular" w:cs="Times New Roman"/>
          <w:color w:val="000000"/>
          <w:sz w:val="23"/>
          <w:szCs w:val="23"/>
          <w:lang w:eastAsia="ru-RU"/>
        </w:rPr>
        <w:br/>
        <w:t>а) наименование,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E9385F">
        <w:rPr>
          <w:rFonts w:ascii="PTSansRegular" w:eastAsia="Times New Roman" w:hAnsi="PTSansRegular" w:cs="Times New Roman"/>
          <w:color w:val="000000"/>
          <w:sz w:val="23"/>
          <w:szCs w:val="23"/>
          <w:lang w:eastAsia="ru-RU"/>
        </w:rPr>
        <w:br/>
        <w:t>б)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E9385F">
        <w:rPr>
          <w:rFonts w:ascii="PTSansRegular" w:eastAsia="Times New Roman" w:hAnsi="PTSansRegular" w:cs="Times New Roman"/>
          <w:color w:val="000000"/>
          <w:sz w:val="23"/>
          <w:szCs w:val="23"/>
          <w:lang w:eastAsia="ru-RU"/>
        </w:rPr>
        <w:br/>
        <w:t>в)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E9385F">
        <w:rPr>
          <w:rFonts w:ascii="PTSansRegular" w:eastAsia="Times New Roman" w:hAnsi="PTSansRegular" w:cs="Times New Roman"/>
          <w:color w:val="000000"/>
          <w:sz w:val="23"/>
          <w:szCs w:val="23"/>
          <w:lang w:eastAsia="ru-RU"/>
        </w:rPr>
        <w:br/>
        <w:t>г) порядок и условия предоставления медицинской помощи в соответствии с программой и территориальной программой;</w:t>
      </w:r>
      <w:r w:rsidRPr="00E9385F">
        <w:rPr>
          <w:rFonts w:ascii="PTSansRegular" w:eastAsia="Times New Roman" w:hAnsi="PTSansRegular" w:cs="Times New Roman"/>
          <w:color w:val="000000"/>
          <w:sz w:val="23"/>
          <w:szCs w:val="23"/>
          <w:lang w:eastAsia="ru-RU"/>
        </w:rPr>
        <w:b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E9385F">
        <w:rPr>
          <w:rFonts w:ascii="PTSansRegular" w:eastAsia="Times New Roman" w:hAnsi="PTSansRegular" w:cs="Times New Roman"/>
          <w:color w:val="000000"/>
          <w:sz w:val="23"/>
          <w:szCs w:val="23"/>
          <w:lang w:eastAsia="ru-RU"/>
        </w:rPr>
        <w:br/>
        <w:t>е) режим работы медицинской организации, график работы медицинских работников, участвующих в предоставлении платных медицинских услуг;</w:t>
      </w:r>
      <w:r w:rsidRPr="00E9385F">
        <w:rPr>
          <w:rFonts w:ascii="PTSansRegular" w:eastAsia="Times New Roman" w:hAnsi="PTSansRegular" w:cs="Times New Roman"/>
          <w:color w:val="000000"/>
          <w:sz w:val="23"/>
          <w:szCs w:val="23"/>
          <w:lang w:eastAsia="ru-RU"/>
        </w:rPr>
        <w:br/>
        <w:t>ж) адреса и телефоны Министерства здравоохранения РФ,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Центр предоставляет для ознакомления по требованию потребителя и (или) заказчика:</w:t>
      </w:r>
    </w:p>
    <w:p w:rsidR="00E9385F" w:rsidRPr="00E9385F" w:rsidRDefault="00E9385F" w:rsidP="00E9385F">
      <w:pPr>
        <w:shd w:val="clear" w:color="auto" w:fill="FFFFFF"/>
        <w:spacing w:before="100" w:beforeAutospacing="1" w:after="100" w:afterAutospacing="1" w:line="300" w:lineRule="atLeast"/>
        <w:ind w:left="450"/>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color w:val="545B63"/>
          <w:sz w:val="23"/>
          <w:szCs w:val="23"/>
          <w:lang w:eastAsia="ru-RU"/>
        </w:rPr>
        <w:t>а) копию Устава.</w:t>
      </w:r>
      <w:r w:rsidRPr="00E9385F">
        <w:rPr>
          <w:rFonts w:ascii="PTSansRegular" w:eastAsia="Times New Roman" w:hAnsi="PTSansRegular" w:cs="Times New Roman"/>
          <w:color w:val="545B63"/>
          <w:sz w:val="23"/>
          <w:szCs w:val="23"/>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9385F" w:rsidRPr="00E9385F" w:rsidRDefault="00E9385F" w:rsidP="00E9385F">
      <w:pPr>
        <w:shd w:val="clear" w:color="auto" w:fill="FFFFFF"/>
        <w:spacing w:before="100" w:beforeAutospacing="1" w:after="100" w:afterAutospacing="1" w:line="300" w:lineRule="atLeast"/>
        <w:ind w:left="450"/>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color w:val="545B63"/>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r w:rsidRPr="00E9385F">
        <w:rPr>
          <w:rFonts w:ascii="PTSansRegular" w:eastAsia="Times New Roman" w:hAnsi="PTSansRegular" w:cs="Times New Roman"/>
          <w:color w:val="545B63"/>
          <w:sz w:val="23"/>
          <w:szCs w:val="23"/>
          <w:lang w:eastAsia="ru-RU"/>
        </w:rPr>
        <w:br/>
        <w:t xml:space="preserve">б) информация о конкретном медицинском работнике, предоставляющем </w:t>
      </w:r>
      <w:r w:rsidRPr="00E9385F">
        <w:rPr>
          <w:rFonts w:ascii="PTSansRegular" w:eastAsia="Times New Roman" w:hAnsi="PTSansRegular" w:cs="Times New Roman"/>
          <w:color w:val="545B63"/>
          <w:sz w:val="23"/>
          <w:szCs w:val="23"/>
          <w:lang w:eastAsia="ru-RU"/>
        </w:rPr>
        <w:lastRenderedPageBreak/>
        <w:t>соответствующую платную медицинскую услугу (его профессиональном образовании и квалификации);</w:t>
      </w:r>
      <w:r w:rsidRPr="00E9385F">
        <w:rPr>
          <w:rFonts w:ascii="PTSansRegular" w:eastAsia="Times New Roman" w:hAnsi="PTSansRegular" w:cs="Times New Roman"/>
          <w:color w:val="545B63"/>
          <w:sz w:val="23"/>
          <w:szCs w:val="23"/>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E9385F">
        <w:rPr>
          <w:rFonts w:ascii="PTSansRegular" w:eastAsia="Times New Roman" w:hAnsi="PTSansRegular" w:cs="Times New Roman"/>
          <w:color w:val="545B63"/>
          <w:sz w:val="23"/>
          <w:szCs w:val="23"/>
          <w:lang w:eastAsia="ru-RU"/>
        </w:rPr>
        <w:br/>
        <w:t>г)  другие сведения, относящиеся к предмету договора.</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9385F" w:rsidRPr="00E9385F" w:rsidRDefault="00E9385F" w:rsidP="00E9385F">
      <w:pPr>
        <w:shd w:val="clear" w:color="auto" w:fill="FFFFFF"/>
        <w:spacing w:before="100" w:beforeAutospacing="1" w:after="100" w:afterAutospacing="1" w:line="300" w:lineRule="atLeast"/>
        <w:ind w:left="450"/>
        <w:jc w:val="center"/>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b/>
          <w:bCs/>
          <w:color w:val="545B63"/>
          <w:sz w:val="23"/>
          <w:szCs w:val="23"/>
          <w:bdr w:val="none" w:sz="0" w:space="0" w:color="auto" w:frame="1"/>
          <w:lang w:eastAsia="ru-RU"/>
        </w:rPr>
        <w:t>4. Порядок заключения договора и оплаты медицинских услуг</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Договор заключается потребителем (заказчиком) и исполнителем в письменной форме.</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Договор должен содержать:</w:t>
      </w:r>
    </w:p>
    <w:p w:rsidR="00E9385F" w:rsidRPr="00E9385F" w:rsidRDefault="00E9385F" w:rsidP="00E9385F">
      <w:pPr>
        <w:shd w:val="clear" w:color="auto" w:fill="FFFFFF"/>
        <w:spacing w:before="100" w:beforeAutospacing="1" w:after="100" w:afterAutospacing="1" w:line="300" w:lineRule="atLeast"/>
        <w:ind w:left="450"/>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color w:val="545B63"/>
          <w:sz w:val="23"/>
          <w:szCs w:val="23"/>
          <w:lang w:eastAsia="ru-RU"/>
        </w:rPr>
        <w:t>а) сведения о Центре:</w:t>
      </w:r>
      <w:r w:rsidRPr="00E9385F">
        <w:rPr>
          <w:rFonts w:ascii="PTSansRegular" w:eastAsia="Times New Roman" w:hAnsi="PTSansRegular" w:cs="Times New Roman"/>
          <w:color w:val="545B63"/>
          <w:sz w:val="23"/>
          <w:szCs w:val="23"/>
          <w:lang w:eastAsia="ru-RU"/>
        </w:rPr>
        <w:b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E9385F">
        <w:rPr>
          <w:rFonts w:ascii="PTSansRegular" w:eastAsia="Times New Roman" w:hAnsi="PTSansRegular" w:cs="Times New Roman"/>
          <w:color w:val="545B63"/>
          <w:sz w:val="23"/>
          <w:szCs w:val="23"/>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E9385F">
        <w:rPr>
          <w:rFonts w:ascii="PTSansRegular" w:eastAsia="Times New Roman" w:hAnsi="PTSansRegular" w:cs="Times New Roman"/>
          <w:color w:val="545B63"/>
          <w:sz w:val="23"/>
          <w:szCs w:val="23"/>
          <w:lang w:eastAsia="ru-RU"/>
        </w:rPr>
        <w:br/>
        <w:t>б) фамилию, имя и отчество (если имеется), адрес места жительства и телефон потребителя (законного представителя потребителя);</w:t>
      </w:r>
      <w:r w:rsidRPr="00E9385F">
        <w:rPr>
          <w:rFonts w:ascii="PTSansRegular" w:eastAsia="Times New Roman" w:hAnsi="PTSansRegular" w:cs="Times New Roman"/>
          <w:color w:val="545B63"/>
          <w:sz w:val="23"/>
          <w:szCs w:val="23"/>
          <w:lang w:eastAsia="ru-RU"/>
        </w:rPr>
        <w:br/>
        <w:t>фамилию, имя и отчество (если имеется), адрес места жительства и телефон заказчика - физического лица;</w:t>
      </w:r>
      <w:r w:rsidRPr="00E9385F">
        <w:rPr>
          <w:rFonts w:ascii="PTSansRegular" w:eastAsia="Times New Roman" w:hAnsi="PTSansRegular" w:cs="Times New Roman"/>
          <w:color w:val="545B63"/>
          <w:sz w:val="23"/>
          <w:szCs w:val="23"/>
          <w:lang w:eastAsia="ru-RU"/>
        </w:rPr>
        <w:br/>
        <w:t>наименование и адрес места нахождения заказчика - юридического лица;</w:t>
      </w:r>
      <w:r w:rsidRPr="00E9385F">
        <w:rPr>
          <w:rFonts w:ascii="PTSansRegular" w:eastAsia="Times New Roman" w:hAnsi="PTSansRegular" w:cs="Times New Roman"/>
          <w:color w:val="545B63"/>
          <w:sz w:val="23"/>
          <w:szCs w:val="23"/>
          <w:lang w:eastAsia="ru-RU"/>
        </w:rPr>
        <w:br/>
        <w:t>в) перечень платных медицинских услуг, предоставляемых в соответствии с договором;</w:t>
      </w:r>
      <w:r w:rsidRPr="00E9385F">
        <w:rPr>
          <w:rFonts w:ascii="PTSansRegular" w:eastAsia="Times New Roman" w:hAnsi="PTSansRegular" w:cs="Times New Roman"/>
          <w:color w:val="545B63"/>
          <w:sz w:val="23"/>
          <w:szCs w:val="23"/>
          <w:lang w:eastAsia="ru-RU"/>
        </w:rPr>
        <w:br/>
        <w:t>г) стоимость платных медицинских услуг, сроки и порядок их оплаты;</w:t>
      </w:r>
      <w:r w:rsidRPr="00E9385F">
        <w:rPr>
          <w:rFonts w:ascii="PTSansRegular" w:eastAsia="Times New Roman" w:hAnsi="PTSansRegular" w:cs="Times New Roman"/>
          <w:color w:val="545B63"/>
          <w:sz w:val="23"/>
          <w:szCs w:val="23"/>
          <w:lang w:eastAsia="ru-RU"/>
        </w:rPr>
        <w:br/>
        <w:t>д) условия и сроки предоставления платных медицинских услуг;</w:t>
      </w:r>
      <w:r w:rsidRPr="00E9385F">
        <w:rPr>
          <w:rFonts w:ascii="PTSansRegular" w:eastAsia="Times New Roman" w:hAnsi="PTSansRegular" w:cs="Times New Roman"/>
          <w:color w:val="545B63"/>
          <w:sz w:val="23"/>
          <w:szCs w:val="23"/>
          <w:lang w:eastAsia="ru-RU"/>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E9385F">
        <w:rPr>
          <w:rFonts w:ascii="PTSansRegular" w:eastAsia="Times New Roman" w:hAnsi="PTSansRegular" w:cs="Times New Roman"/>
          <w:color w:val="545B63"/>
          <w:sz w:val="23"/>
          <w:szCs w:val="23"/>
          <w:lang w:eastAsia="ru-RU"/>
        </w:rPr>
        <w:br/>
        <w:t>ж) ответственность сторон за невыполнение условий договора;</w:t>
      </w:r>
      <w:r w:rsidRPr="00E9385F">
        <w:rPr>
          <w:rFonts w:ascii="PTSansRegular" w:eastAsia="Times New Roman" w:hAnsi="PTSansRegular" w:cs="Times New Roman"/>
          <w:color w:val="545B63"/>
          <w:sz w:val="23"/>
          <w:szCs w:val="23"/>
          <w:lang w:eastAsia="ru-RU"/>
        </w:rPr>
        <w:br/>
        <w:t>з) порядок изменения и расторжения договора;</w:t>
      </w:r>
      <w:r w:rsidRPr="00E9385F">
        <w:rPr>
          <w:rFonts w:ascii="PTSansRegular" w:eastAsia="Times New Roman" w:hAnsi="PTSansRegular" w:cs="Times New Roman"/>
          <w:color w:val="545B63"/>
          <w:sz w:val="23"/>
          <w:szCs w:val="23"/>
          <w:lang w:eastAsia="ru-RU"/>
        </w:rPr>
        <w:br/>
        <w:t>и) иные условия, определяемые по соглашению сторон.</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Договор составляется в 3 экземплярах, один из которых находится у исполнителя (Центре), второй - у заказчика, третий - у потребителя. В случае если договор заключается потребителем и исполнителем, он составляется в 2 экземплярах.</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На предоставление .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lastRenderedPageBreak/>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E9385F">
        <w:rPr>
          <w:rFonts w:ascii="PTSansRegular" w:eastAsia="Times New Roman" w:hAnsi="PTSansRegular" w:cs="Times New Roman"/>
          <w:color w:val="000000"/>
          <w:sz w:val="23"/>
          <w:szCs w:val="23"/>
          <w:lang w:eastAsia="ru-RU"/>
        </w:rPr>
        <w:br/>
        <w:t>Без согласия потребителя (заказчика) Центр не вправе предоставлять дополнительные медицинские услуги на возмездной основе.</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9385F" w:rsidRPr="00E9385F" w:rsidRDefault="00E9385F" w:rsidP="00E9385F">
      <w:pPr>
        <w:shd w:val="clear" w:color="auto" w:fill="FFFFFF"/>
        <w:spacing w:before="100" w:beforeAutospacing="1" w:after="100" w:afterAutospacing="1" w:line="300" w:lineRule="atLeast"/>
        <w:ind w:left="450"/>
        <w:jc w:val="center"/>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b/>
          <w:bCs/>
          <w:color w:val="545B63"/>
          <w:sz w:val="23"/>
          <w:szCs w:val="23"/>
          <w:bdr w:val="none" w:sz="0" w:space="0" w:color="auto" w:frame="1"/>
          <w:lang w:eastAsia="ru-RU"/>
        </w:rPr>
        <w:t>5. Порядок предоставления платных медицинских услуг</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E9385F">
        <w:rPr>
          <w:rFonts w:ascii="PTSansRegular" w:eastAsia="Times New Roman" w:hAnsi="PTSansRegular" w:cs="Times New Roman"/>
          <w:color w:val="000000"/>
          <w:sz w:val="23"/>
          <w:szCs w:val="23"/>
          <w:lang w:eastAsia="ru-RU"/>
        </w:rPr>
        <w:br/>
      </w:r>
      <w:r w:rsidRPr="00E9385F">
        <w:rPr>
          <w:rFonts w:ascii="PTSansRegular" w:eastAsia="Times New Roman" w:hAnsi="PTSansRegular" w:cs="Times New Roman"/>
          <w:color w:val="000000"/>
          <w:sz w:val="23"/>
          <w:szCs w:val="23"/>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lastRenderedPageBreak/>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9385F" w:rsidRPr="00E9385F" w:rsidRDefault="00E9385F" w:rsidP="00E9385F">
      <w:pPr>
        <w:shd w:val="clear" w:color="auto" w:fill="FFFFFF"/>
        <w:spacing w:before="100" w:beforeAutospacing="1" w:after="100" w:afterAutospacing="1" w:line="300" w:lineRule="atLeast"/>
        <w:ind w:left="450"/>
        <w:jc w:val="center"/>
        <w:textAlignment w:val="baseline"/>
        <w:rPr>
          <w:rFonts w:ascii="PTSansRegular" w:eastAsia="Times New Roman" w:hAnsi="PTSansRegular" w:cs="Times New Roman"/>
          <w:color w:val="545B63"/>
          <w:sz w:val="23"/>
          <w:szCs w:val="23"/>
          <w:lang w:eastAsia="ru-RU"/>
        </w:rPr>
      </w:pPr>
      <w:r w:rsidRPr="00E9385F">
        <w:rPr>
          <w:rFonts w:ascii="PTSansRegular" w:eastAsia="Times New Roman" w:hAnsi="PTSansRegular" w:cs="Times New Roman"/>
          <w:b/>
          <w:bCs/>
          <w:color w:val="545B63"/>
          <w:sz w:val="23"/>
          <w:szCs w:val="23"/>
          <w:bdr w:val="none" w:sz="0" w:space="0" w:color="auto" w:frame="1"/>
          <w:lang w:eastAsia="ru-RU"/>
        </w:rPr>
        <w:t>6. Порядок организации работ по оказанию платных медицинских услуг</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Оперативное руководство деятельностью по оказанию платных медицинских услуг осуществляют уполномоченные Директором сотрудники Центра (заместители по медицинской части, заведующий поликлиническим отделением, которые совместно с руководителями подразделений Центра несут ответственность за качество и сроки выполнения работ.</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Платные медицинские услуги оказываются по ценам, предусмотренным в прейскуранте.</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b/>
          <w:bCs/>
          <w:color w:val="000000"/>
          <w:sz w:val="23"/>
          <w:szCs w:val="23"/>
          <w:bdr w:val="none" w:sz="0" w:space="0" w:color="auto" w:frame="1"/>
          <w:lang w:eastAsia="ru-RU"/>
        </w:rPr>
        <w:t>Порядок госпитализации пациентов по безналичному расчету:</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Приемный покой оформляет пациента при наличии направления от страховой компании или организации, с которыми заключен договор, либо наличие договора с физическим лицом с оплатой по безналичному расчету.</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При выписке пациента оформляется бланк "Карта учета медицинской помощи" (ответственные: заведующий отделением, лечащий врач и старшая медицинская сестра), где в полном объеме должны быть отражены все виды оказанной медицинской помощи пациенту (основание: история болезни) с последующей передачей в отдел АСУ для выписки счета.</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b/>
          <w:bCs/>
          <w:color w:val="000000"/>
          <w:sz w:val="23"/>
          <w:szCs w:val="23"/>
          <w:bdr w:val="none" w:sz="0" w:space="0" w:color="auto" w:frame="1"/>
          <w:lang w:eastAsia="ru-RU"/>
        </w:rPr>
        <w:t>Порядок госпитализации пациентов за наличный расчет:</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Заведующий отделением выдает направление, где указывается диагноз, количество койко-дней и предполагаемая стоимость лечения по индивидуально разработанной программе на основании действующего прейскуранта цен.</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Заместитель Директора по лечебной части (или уполномоченный врач больницы) заключают договор с пациентом на основании которого производится оплата через кассу Центра.</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Приемный покой оформляет пациента при наличии направления заведующего отделением, договора и квитанции об оплате.</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Лечение и обследование пациента проводится строго по нозологической форме. При желании пациента обследование и лечение сопутствующих заболеваний производится только за отдельную плату (направление выписывает лечащий врач с пометкой для оплаты в кассу).</w:t>
      </w:r>
    </w:p>
    <w:p w:rsidR="00E9385F" w:rsidRPr="00E9385F" w:rsidRDefault="00E9385F" w:rsidP="00E9385F">
      <w:pPr>
        <w:numPr>
          <w:ilvl w:val="1"/>
          <w:numId w:val="1"/>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При выписке пациента оформляется бланк "Карта учета медицинской помощи" (ответственные: заведующий отделением, лечащий врач и старшая медицинская сестра), где в полном объеме должны быть отражены все виды оказанной медицинской помощи пациенту (основание: история болезни) с передачей в расчетную группу для последующего учета объемов оказанных мед.услуг по отделениям и формировании сметы для выдачи пациенту.</w:t>
      </w:r>
    </w:p>
    <w:p w:rsidR="00E9385F" w:rsidRPr="00E9385F" w:rsidRDefault="00E9385F" w:rsidP="00E9385F">
      <w:pPr>
        <w:numPr>
          <w:ilvl w:val="0"/>
          <w:numId w:val="1"/>
        </w:numPr>
        <w:shd w:val="clear" w:color="auto" w:fill="FFFFFF"/>
        <w:spacing w:before="100" w:beforeAutospacing="1" w:after="100" w:afterAutospacing="1" w:line="240" w:lineRule="auto"/>
        <w:ind w:left="45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b/>
          <w:bCs/>
          <w:color w:val="000000"/>
          <w:sz w:val="23"/>
          <w:szCs w:val="23"/>
          <w:bdr w:val="none" w:sz="0" w:space="0" w:color="auto" w:frame="1"/>
          <w:lang w:eastAsia="ru-RU"/>
        </w:rPr>
        <w:t>Платные медицинские услуги в поликлиническом отделении оказываются всем желающим.</w:t>
      </w:r>
    </w:p>
    <w:p w:rsidR="00E9385F" w:rsidRPr="00E9385F" w:rsidRDefault="00E9385F" w:rsidP="00E9385F">
      <w:pPr>
        <w:numPr>
          <w:ilvl w:val="1"/>
          <w:numId w:val="2"/>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При обслуживании за наличный расчет пациент оплачивает стоимость услуги в кассу поликлиники с выдачей талона с отметкой об оплате и чека. Талон с отметкой об оплате является основанием для всех подразделений поликлиники для оказания мед.услуги. По окончании месяца отдел по работе с прикрепленным контингентом представляет оформленный бланк "Перечень оказанных мед.услуг" по видам услуг с указанием количества и объемов оказанных услуг в ПЭО для дальнейшего учета и контроля объемов оказанных мед.услуг по отделениям. Кассир, осуществляющий прием наличных денег от пациентов, обязан ежедневно сдавать в кассу больницы выручку за оказанные мед.услуги.</w:t>
      </w:r>
    </w:p>
    <w:p w:rsidR="00E9385F" w:rsidRPr="00E9385F" w:rsidRDefault="00E9385F" w:rsidP="00E9385F">
      <w:pPr>
        <w:numPr>
          <w:ilvl w:val="1"/>
          <w:numId w:val="2"/>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lastRenderedPageBreak/>
        <w:t>При обслуживании пациентов по договору необходимо наличие направления или другого документа (списков, полиса), подтверждающего принадлежность пациента к организации, заключившей договор с Центром.</w:t>
      </w:r>
    </w:p>
    <w:p w:rsidR="00E9385F" w:rsidRPr="00E9385F" w:rsidRDefault="00E9385F" w:rsidP="00E9385F">
      <w:pPr>
        <w:numPr>
          <w:ilvl w:val="1"/>
          <w:numId w:val="2"/>
        </w:numPr>
        <w:shd w:val="clear" w:color="auto" w:fill="FFFFFF"/>
        <w:spacing w:before="100" w:beforeAutospacing="1" w:after="100" w:afterAutospacing="1" w:line="240" w:lineRule="auto"/>
        <w:ind w:left="900"/>
        <w:textAlignment w:val="baseline"/>
        <w:rPr>
          <w:rFonts w:ascii="PTSansRegular" w:eastAsia="Times New Roman" w:hAnsi="PTSansRegular" w:cs="Times New Roman"/>
          <w:color w:val="000000"/>
          <w:sz w:val="23"/>
          <w:szCs w:val="23"/>
          <w:lang w:eastAsia="ru-RU"/>
        </w:rPr>
      </w:pPr>
      <w:r w:rsidRPr="00E9385F">
        <w:rPr>
          <w:rFonts w:ascii="PTSansRegular" w:eastAsia="Times New Roman" w:hAnsi="PTSansRegular" w:cs="Times New Roman"/>
          <w:color w:val="000000"/>
          <w:sz w:val="23"/>
          <w:szCs w:val="23"/>
          <w:lang w:eastAsia="ru-RU"/>
        </w:rPr>
        <w:t>Отдел по работе с прикрепленным контингентом обеспечивает сдачу отчетности по платным услугам по учреждению и ежемесячное представление информации в ПЭО.</w:t>
      </w:r>
    </w:p>
    <w:p w:rsidR="00CA4893" w:rsidRDefault="00CA4893">
      <w:bookmarkStart w:id="0" w:name="_GoBack"/>
      <w:bookmarkEnd w:id="0"/>
    </w:p>
    <w:sectPr w:rsidR="00CA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684"/>
    <w:multiLevelType w:val="multilevel"/>
    <w:tmpl w:val="55B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673C63"/>
    <w:multiLevelType w:val="multilevel"/>
    <w:tmpl w:val="C9E62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22"/>
    <w:rsid w:val="00C71822"/>
    <w:rsid w:val="00CA4893"/>
    <w:rsid w:val="00E93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3402A-0EC0-49DD-87BB-847A0316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85F"/>
    <w:rPr>
      <w:b/>
      <w:bCs/>
    </w:rPr>
  </w:style>
  <w:style w:type="character" w:styleId="a5">
    <w:name w:val="Hyperlink"/>
    <w:basedOn w:val="a0"/>
    <w:uiPriority w:val="99"/>
    <w:semiHidden/>
    <w:unhideWhenUsed/>
    <w:rsid w:val="00E93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rf.ru/docs/postanovleniye_4_10_2012_platn_uslug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15868</Characters>
  <Application>Microsoft Office Word</Application>
  <DocSecurity>0</DocSecurity>
  <Lines>132</Lines>
  <Paragraphs>37</Paragraphs>
  <ScaleCrop>false</ScaleCrop>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2019-11-16T14:57:00Z</dcterms:created>
  <dcterms:modified xsi:type="dcterms:W3CDTF">2019-11-16T14:57:00Z</dcterms:modified>
</cp:coreProperties>
</file>