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5B" w:rsidRDefault="00E3525B" w:rsidP="00E3525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b/>
          <w:bCs/>
          <w:color w:val="404243"/>
          <w:bdr w:val="none" w:sz="0" w:space="0" w:color="auto" w:frame="1"/>
        </w:rPr>
        <w:t>1. Перечень категорий граждан, которые не подлежат направлению на платные медицинские и не медицинские услуги:</w:t>
      </w:r>
    </w:p>
    <w:p w:rsidR="00E3525B" w:rsidRDefault="00E3525B" w:rsidP="00E3525B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>1.1. Ветераны Великой Отечественной Войны (инвалиды и участники ВОВ, члены семей погибших (умерших), инвалидов войны, участников ВОВ и военнослужащих, лица, награжденные знаком «Жителю блокадного Ленинграда», ветераны боевых действий, труженики тыла);</w:t>
      </w:r>
    </w:p>
    <w:p w:rsidR="00E3525B" w:rsidRDefault="00E3525B" w:rsidP="00E3525B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>1.2.  Дети до 18 лет;</w:t>
      </w:r>
    </w:p>
    <w:p w:rsidR="00E3525B" w:rsidRDefault="00E3525B" w:rsidP="00E3525B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>1.3.  Беременные женщины;</w:t>
      </w:r>
    </w:p>
    <w:p w:rsidR="00E3525B" w:rsidRDefault="00E3525B" w:rsidP="00E3525B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>1.4. ВИЧ-инфицированные.</w:t>
      </w:r>
    </w:p>
    <w:p w:rsidR="00E3525B" w:rsidRDefault="00E3525B" w:rsidP="00E3525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b/>
          <w:bCs/>
          <w:color w:val="404243"/>
          <w:bdr w:val="none" w:sz="0" w:space="0" w:color="auto" w:frame="1"/>
        </w:rPr>
        <w:t>2. Перечень категорий граждан, которым установлены льготы при оказании платных медицинских услуг при проведении медицинского освидетельствования для получения:</w:t>
      </w:r>
    </w:p>
    <w:p w:rsidR="00E3525B" w:rsidRDefault="00E3525B" w:rsidP="00E3525B">
      <w:pPr>
        <w:pStyle w:val="a3"/>
        <w:numPr>
          <w:ilvl w:val="0"/>
          <w:numId w:val="1"/>
        </w:numPr>
        <w:spacing w:before="0" w:beforeAutospacing="0" w:after="330" w:afterAutospacing="0" w:line="270" w:lineRule="atLeast"/>
        <w:ind w:left="240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 xml:space="preserve">медицинской справки о допуске к управлению автотранспортным средством (форма утверждена приказом </w:t>
      </w:r>
      <w:proofErr w:type="spellStart"/>
      <w:r>
        <w:rPr>
          <w:rFonts w:ascii="Arial" w:hAnsi="Arial" w:cs="Arial"/>
          <w:color w:val="404243"/>
        </w:rPr>
        <w:t>Минздравсоцразвития</w:t>
      </w:r>
      <w:proofErr w:type="spellEnd"/>
      <w:r>
        <w:rPr>
          <w:rFonts w:ascii="Arial" w:hAnsi="Arial" w:cs="Arial"/>
          <w:color w:val="404243"/>
        </w:rPr>
        <w:t xml:space="preserve"> РФ от 28.09.2010 г. №831),</w:t>
      </w:r>
    </w:p>
    <w:p w:rsidR="00E3525B" w:rsidRDefault="00E3525B" w:rsidP="00E3525B">
      <w:pPr>
        <w:pStyle w:val="a3"/>
        <w:numPr>
          <w:ilvl w:val="0"/>
          <w:numId w:val="1"/>
        </w:numPr>
        <w:spacing w:before="0" w:beforeAutospacing="0" w:after="330" w:afterAutospacing="0" w:line="270" w:lineRule="atLeast"/>
        <w:ind w:left="240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>медицинского заключения для получения лицензии на приобретение оружия (форма №046-1, утверждена приказом МЗ РФ от 11.09.2000 г. №344),</w:t>
      </w:r>
    </w:p>
    <w:p w:rsidR="00E3525B" w:rsidRDefault="00E3525B" w:rsidP="00E3525B">
      <w:pPr>
        <w:pStyle w:val="a3"/>
        <w:numPr>
          <w:ilvl w:val="0"/>
          <w:numId w:val="1"/>
        </w:numPr>
        <w:spacing w:before="0" w:beforeAutospacing="0" w:after="330" w:afterAutospacing="0" w:line="270" w:lineRule="atLeast"/>
        <w:ind w:left="240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>медицинской справки (форма №086/у, утверждена приказом МЗ СССР от 04.10.1980 г. №1030),</w:t>
      </w:r>
    </w:p>
    <w:p w:rsidR="00E3525B" w:rsidRDefault="00E3525B" w:rsidP="00E3525B">
      <w:pPr>
        <w:pStyle w:val="a3"/>
        <w:numPr>
          <w:ilvl w:val="0"/>
          <w:numId w:val="1"/>
        </w:numPr>
        <w:spacing w:before="0" w:beforeAutospacing="0" w:after="330" w:afterAutospacing="0" w:line="270" w:lineRule="atLeast"/>
        <w:ind w:left="240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 xml:space="preserve">заключения о наличии (отсутствии) заболеваний, препятствующих поступлению на государственную гражданскую службу РФ и муниципальную службу или ее прохождению (форма №001-ГС/У, утверждена приказом </w:t>
      </w:r>
      <w:proofErr w:type="spellStart"/>
      <w:r>
        <w:rPr>
          <w:rFonts w:ascii="Arial" w:hAnsi="Arial" w:cs="Arial"/>
          <w:color w:val="404243"/>
        </w:rPr>
        <w:t>Минздравсоцразвития</w:t>
      </w:r>
      <w:proofErr w:type="spellEnd"/>
      <w:r>
        <w:rPr>
          <w:rFonts w:ascii="Arial" w:hAnsi="Arial" w:cs="Arial"/>
          <w:color w:val="404243"/>
        </w:rPr>
        <w:t xml:space="preserve"> РФ от 14.12.2009 г. №984)</w:t>
      </w:r>
    </w:p>
    <w:p w:rsidR="00E3525B" w:rsidRDefault="00E3525B" w:rsidP="00E3525B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>2.1. Ветераны Великой Отечественной Войны – 100% льготы;</w:t>
      </w:r>
    </w:p>
    <w:p w:rsidR="00E3525B" w:rsidRDefault="00E3525B" w:rsidP="00E3525B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>2.2. Дети до 18 лет – 100% льготы;</w:t>
      </w:r>
    </w:p>
    <w:p w:rsidR="00E3525B" w:rsidRDefault="00E3525B" w:rsidP="00E3525B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>2.3. Инвалиды по общему заболеванию – 50% льготы;</w:t>
      </w:r>
    </w:p>
    <w:p w:rsidR="00E3525B" w:rsidRDefault="00E3525B" w:rsidP="00E3525B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>2.4.  Неработающие пенсионеры – 20% льготы;</w:t>
      </w:r>
    </w:p>
    <w:p w:rsidR="00E3525B" w:rsidRDefault="00E3525B" w:rsidP="00E3525B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color w:val="404243"/>
        </w:rPr>
        <w:t>2.5. Работники ГУЗ «Агинская окружная больница» - 50% льготы.</w:t>
      </w:r>
    </w:p>
    <w:p w:rsidR="00E3525B" w:rsidRDefault="00E3525B" w:rsidP="00E3525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04243"/>
        </w:rPr>
      </w:pPr>
      <w:r>
        <w:rPr>
          <w:rFonts w:ascii="Arial" w:hAnsi="Arial" w:cs="Arial"/>
          <w:b/>
          <w:bCs/>
          <w:color w:val="404243"/>
          <w:bdr w:val="none" w:sz="0" w:space="0" w:color="auto" w:frame="1"/>
        </w:rPr>
        <w:t>3. Лица, получающие медицинское заключение по результатам освидетельствования гражданина (гражданки), желающей усыновить, принять под опеку (попечительство) ребенка или стать приемным родителем (форма №164/у-96, утверждена приказом МЗ РФ от 10.09.1996 г.) устанавливается льгота в размере 100%.</w:t>
      </w:r>
    </w:p>
    <w:p w:rsidR="003D5347" w:rsidRDefault="003D5347">
      <w:bookmarkStart w:id="0" w:name="_GoBack"/>
      <w:bookmarkEnd w:id="0"/>
    </w:p>
    <w:sectPr w:rsidR="003D5347" w:rsidSect="00E35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97F2C"/>
    <w:multiLevelType w:val="multilevel"/>
    <w:tmpl w:val="3BF8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A3"/>
    <w:rsid w:val="003D5347"/>
    <w:rsid w:val="008F39A3"/>
    <w:rsid w:val="00E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40D6-CE1F-4AD9-9E26-913CE90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2019-10-23T19:13:00Z</dcterms:created>
  <dcterms:modified xsi:type="dcterms:W3CDTF">2019-10-23T19:13:00Z</dcterms:modified>
</cp:coreProperties>
</file>