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4923" w14:textId="77777777" w:rsidR="00235320" w:rsidRPr="00235320" w:rsidRDefault="00235320" w:rsidP="00235320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Порядок оказания медицинской помощи пациентам, страдающим хроническим болевым синдромом.</w:t>
      </w:r>
    </w:p>
    <w:p w14:paraId="2CE39DA2" w14:textId="77777777" w:rsidR="00235320" w:rsidRPr="00235320" w:rsidRDefault="00235320" w:rsidP="00235320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Общие положения.</w:t>
      </w:r>
    </w:p>
    <w:p w14:paraId="33231922" w14:textId="77777777" w:rsidR="00235320" w:rsidRPr="00235320" w:rsidRDefault="00235320" w:rsidP="00235320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Настоящий порядок разработан в целях повышения доступности получения медицинской и лекарственной помощи, улучшения качества жизни неизлечимо больных граждан, избавления от боли и облегчения других тяжелых проявлений заболевания, во исполнение ст. 36 Федерального закона от 21.11.2011г. № 323-ФЗ «Об основах охраны здоровья граждан в Российской Федерации».</w:t>
      </w:r>
    </w:p>
    <w:p w14:paraId="6487F98D" w14:textId="77777777" w:rsidR="00235320" w:rsidRPr="00235320" w:rsidRDefault="00235320" w:rsidP="00235320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 соответствии с рекомендациями Всемирной организации здравоохранения и Европейскими рекомендациями по паллиативной медицине, основным методом контроля хронического болевого синдрома является фармакотерапия на основе неинвазивных форм опиоидных анальгетиков. Она применяется амбулаторно и в стационаре независимо от стадии заболевания. Полноценный контроль боли должен осуществляться на всех этапах противоопухолевой терапии, в том числе при оказании паллиативной помощи. При соблюдении основных принципов ВОЗ фармакотерапия обеспечивает достаточный уровень обезболивания у 70 -90% онкологических больных.</w:t>
      </w:r>
    </w:p>
    <w:p w14:paraId="4F7D8C02" w14:textId="77777777" w:rsidR="00235320" w:rsidRPr="00235320" w:rsidRDefault="00235320" w:rsidP="00235320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«Лестница обезболивания» ВОЗ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70"/>
        <w:gridCol w:w="4050"/>
      </w:tblGrid>
      <w:tr w:rsidR="00235320" w:rsidRPr="00235320" w14:paraId="4AAACFCA" w14:textId="77777777" w:rsidTr="00235320">
        <w:tc>
          <w:tcPr>
            <w:tcW w:w="16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E711740" w14:textId="77777777" w:rsidR="00235320" w:rsidRPr="00235320" w:rsidRDefault="00235320" w:rsidP="0023532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395A2A7" w14:textId="77777777" w:rsidR="00235320" w:rsidRPr="00235320" w:rsidRDefault="00235320" w:rsidP="0023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8DC78B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3-я ступень</w:t>
            </w:r>
          </w:p>
          <w:p w14:paraId="302D0879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сильные опиоиды + неопиаты ± адъювантная терапия (по требованию)</w:t>
            </w:r>
          </w:p>
        </w:tc>
      </w:tr>
      <w:tr w:rsidR="00235320" w:rsidRPr="00235320" w14:paraId="6D3EBCB8" w14:textId="77777777" w:rsidTr="00235320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5F25D50" w14:textId="77777777" w:rsidR="00235320" w:rsidRPr="00235320" w:rsidRDefault="00235320" w:rsidP="0023532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DF2933E" w14:textId="77777777" w:rsidR="00235320" w:rsidRPr="00235320" w:rsidRDefault="00235320" w:rsidP="0023532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076873" w14:textId="77777777" w:rsidR="00235320" w:rsidRPr="00235320" w:rsidRDefault="00235320" w:rsidP="0023532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235320" w:rsidRPr="00235320" w14:paraId="46A2BCA1" w14:textId="77777777" w:rsidTr="00235320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ADAE0D9" w14:textId="77777777" w:rsidR="00235320" w:rsidRPr="00235320" w:rsidRDefault="00235320" w:rsidP="0023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9F09E00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2-я ступень</w:t>
            </w:r>
          </w:p>
          <w:p w14:paraId="7EEA568A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слабый опиодный анальгетик + неопиоиды</w:t>
            </w:r>
          </w:p>
          <w:p w14:paraId="7F06E597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± адъювантная терапия (по требованию)</w:t>
            </w:r>
          </w:p>
        </w:tc>
      </w:tr>
      <w:tr w:rsidR="00235320" w:rsidRPr="00235320" w14:paraId="1AC18A9E" w14:textId="77777777" w:rsidTr="00235320">
        <w:tc>
          <w:tcPr>
            <w:tcW w:w="774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C2B402E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1-я ступень</w:t>
            </w:r>
          </w:p>
          <w:p w14:paraId="524A20CB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неопиоидные анальгетики (НПВП, парацетамол)</w:t>
            </w:r>
          </w:p>
          <w:p w14:paraId="00D8DDCC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± адъювантная терапия</w:t>
            </w:r>
          </w:p>
        </w:tc>
      </w:tr>
    </w:tbl>
    <w:p w14:paraId="0DEF8906" w14:textId="77777777" w:rsidR="00235320" w:rsidRPr="00235320" w:rsidRDefault="00235320" w:rsidP="00235320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 ежедневной практике врачей, проводящих терапию боли у онкологических пациентов в амбулаторных условиях, трехступенчатая схема ВОЗ позволяет врачам безопасно осуществлять контроль боли с использованием сильнодействующих препаратов на дому, постепенно повышая дозы и меняя анальгетики по мере ослабления их эффективности.</w:t>
      </w:r>
    </w:p>
    <w:p w14:paraId="39685DF2" w14:textId="77777777" w:rsidR="00235320" w:rsidRPr="00235320" w:rsidRDefault="00235320" w:rsidP="00235320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Перечень групп лекарственных препаратов:</w:t>
      </w:r>
    </w:p>
    <w:p w14:paraId="73E8D5EE" w14:textId="77777777" w:rsidR="00235320" w:rsidRPr="00235320" w:rsidRDefault="00235320" w:rsidP="00235320">
      <w:pPr>
        <w:numPr>
          <w:ilvl w:val="0"/>
          <w:numId w:val="1"/>
        </w:numPr>
        <w:shd w:val="clear" w:color="auto" w:fill="FFFFFF"/>
        <w:spacing w:after="15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для фармакотерапии боли у онкологических больных:</w:t>
      </w:r>
    </w:p>
    <w:tbl>
      <w:tblPr>
        <w:tblW w:w="934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6689"/>
      </w:tblGrid>
      <w:tr w:rsidR="00235320" w:rsidRPr="00235320" w14:paraId="5DCA64CB" w14:textId="77777777" w:rsidTr="00235320">
        <w:tc>
          <w:tcPr>
            <w:tcW w:w="26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663F8DB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Группы препаратов</w:t>
            </w:r>
          </w:p>
        </w:tc>
        <w:tc>
          <w:tcPr>
            <w:tcW w:w="66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4ECAE5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Перечень препаратов, рекомендуемых ВОЗ</w:t>
            </w:r>
          </w:p>
        </w:tc>
      </w:tr>
      <w:tr w:rsidR="00235320" w:rsidRPr="00235320" w14:paraId="76600CA6" w14:textId="77777777" w:rsidTr="00235320">
        <w:tc>
          <w:tcPr>
            <w:tcW w:w="26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889A30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Неопиоидные аналгетики</w:t>
            </w:r>
          </w:p>
          <w:p w14:paraId="134010D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(I ступень)</w:t>
            </w:r>
          </w:p>
        </w:tc>
        <w:tc>
          <w:tcPr>
            <w:tcW w:w="66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BD3FFE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парацетамол, индометацин,</w:t>
            </w:r>
          </w:p>
          <w:p w14:paraId="2F0BE51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ибупрофен, диклофенак, кетопрофен и др.</w:t>
            </w:r>
          </w:p>
        </w:tc>
      </w:tr>
      <w:tr w:rsidR="00235320" w:rsidRPr="00235320" w14:paraId="60327A22" w14:textId="77777777" w:rsidTr="00235320">
        <w:tc>
          <w:tcPr>
            <w:tcW w:w="26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DD23B1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Слабые опиоиды</w:t>
            </w:r>
          </w:p>
          <w:p w14:paraId="65317B5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(II ступень)</w:t>
            </w:r>
          </w:p>
        </w:tc>
        <w:tc>
          <w:tcPr>
            <w:tcW w:w="66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562D0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кодеин, дигидрокодеин</w:t>
            </w:r>
          </w:p>
          <w:p w14:paraId="230A064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декстропропоксифен,</w:t>
            </w:r>
          </w:p>
          <w:p w14:paraId="52A006D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трамадол</w:t>
            </w:r>
          </w:p>
        </w:tc>
      </w:tr>
      <w:tr w:rsidR="00235320" w:rsidRPr="00235320" w14:paraId="3838D544" w14:textId="77777777" w:rsidTr="00235320">
        <w:tc>
          <w:tcPr>
            <w:tcW w:w="26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B844E0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Сильные опиоиды</w:t>
            </w:r>
          </w:p>
          <w:p w14:paraId="6DB16C8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(III ступень)</w:t>
            </w:r>
          </w:p>
        </w:tc>
        <w:tc>
          <w:tcPr>
            <w:tcW w:w="66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9D740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промедол, морфин, гидроморфон,</w:t>
            </w:r>
          </w:p>
          <w:p w14:paraId="1578E31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оксикодон, бупренорфин,</w:t>
            </w:r>
          </w:p>
          <w:p w14:paraId="59ADE70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петидин, леворфанол,</w:t>
            </w:r>
          </w:p>
          <w:p w14:paraId="7F854F1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метадон, пентазоцин, фентанил</w:t>
            </w:r>
          </w:p>
        </w:tc>
      </w:tr>
    </w:tbl>
    <w:p w14:paraId="775A6159" w14:textId="77777777" w:rsidR="00235320" w:rsidRPr="00235320" w:rsidRDefault="00235320" w:rsidP="00235320">
      <w:pPr>
        <w:numPr>
          <w:ilvl w:val="0"/>
          <w:numId w:val="2"/>
        </w:numPr>
        <w:shd w:val="clear" w:color="auto" w:fill="FFFFFF"/>
        <w:spacing w:after="15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lastRenderedPageBreak/>
        <w:t>Адъювантные и симптоматические средства:</w:t>
      </w:r>
    </w:p>
    <w:tbl>
      <w:tblPr>
        <w:tblW w:w="934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268"/>
        <w:gridCol w:w="2268"/>
        <w:gridCol w:w="4135"/>
      </w:tblGrid>
      <w:tr w:rsidR="00235320" w:rsidRPr="00235320" w14:paraId="44838D14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15596C1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14:paraId="2B855B08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02117B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МНН/</w:t>
            </w:r>
          </w:p>
          <w:p w14:paraId="086571C8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торговые названия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CAADD2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Форма выпуска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7B128E" w14:textId="77777777" w:rsidR="00235320" w:rsidRPr="00235320" w:rsidRDefault="00235320" w:rsidP="002353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Дозы разовые и суточные</w:t>
            </w:r>
          </w:p>
        </w:tc>
      </w:tr>
      <w:tr w:rsidR="00235320" w:rsidRPr="00235320" w14:paraId="0BC45757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5C81AA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8B318B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Дексаметазон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9C8DA9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0,5 мг;</w:t>
            </w:r>
          </w:p>
          <w:p w14:paraId="6977653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4 мг –1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473DBC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при в/м введении 4–8 мг, суточная 8–16 мг (по специальным показаниям до 24–32 мг/сут.)</w:t>
            </w:r>
          </w:p>
        </w:tc>
      </w:tr>
      <w:tr w:rsidR="00235320" w:rsidRPr="00235320" w14:paraId="1924FB83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6574E7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6AFFD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9E6445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1мг, 5 мг;</w:t>
            </w:r>
          </w:p>
          <w:p w14:paraId="21D9420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30 мг/мл,</w:t>
            </w:r>
          </w:p>
          <w:p w14:paraId="26C7FB9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30 мг/2 мл;</w:t>
            </w:r>
          </w:p>
          <w:p w14:paraId="610C786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лиофилизат для приготовления раствора (ампулы) 0,025 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749E8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Суточная доза при приеме таблетированных форм 5–60 мг;</w:t>
            </w:r>
          </w:p>
          <w:p w14:paraId="32F26BF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при в/м введении разовая доза 30–45 мг</w:t>
            </w:r>
          </w:p>
        </w:tc>
      </w:tr>
      <w:tr w:rsidR="00235320" w:rsidRPr="00235320" w14:paraId="36941ADD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AD1921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4DDD9A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Амитриптилин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F424C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10, 25 мг;</w:t>
            </w:r>
          </w:p>
          <w:p w14:paraId="3A33ADD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</w:t>
            </w:r>
          </w:p>
          <w:p w14:paraId="6BA1499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30 мг/мл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90944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10–25 мг, суточная 10– 50 мг (до 200 мг)</w:t>
            </w:r>
          </w:p>
        </w:tc>
      </w:tr>
      <w:tr w:rsidR="00235320" w:rsidRPr="00235320" w14:paraId="1AA6EFF0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AD7724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648713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Дулоксетин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2B962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Капсулы 30 мг, 60мг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72C543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30–60 мг, суточная 60–120 мг</w:t>
            </w:r>
          </w:p>
        </w:tc>
      </w:tr>
      <w:tr w:rsidR="00235320" w:rsidRPr="00235320" w14:paraId="1755E30C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14F81A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22D0D9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Венлафаксин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56EA58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37,5 мг, 75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0D21AA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37,5 мг, суточная 70–225 мг</w:t>
            </w:r>
          </w:p>
        </w:tc>
      </w:tr>
      <w:tr w:rsidR="00235320" w:rsidRPr="00235320" w14:paraId="62E29BED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F3FD6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F4E418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Имипрамин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834FB6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Драже 25 мг;</w:t>
            </w:r>
          </w:p>
          <w:p w14:paraId="539CDDE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(ампулы)25 мг/2 мл;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3F9D80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25 мг, суточная 50–100 мг</w:t>
            </w:r>
          </w:p>
        </w:tc>
      </w:tr>
      <w:tr w:rsidR="00235320" w:rsidRPr="00235320" w14:paraId="030DD9A3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A84C33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240FE7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Карбамазепин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26E5ED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200 мг; 100 мг;</w:t>
            </w:r>
          </w:p>
          <w:p w14:paraId="6F39288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ретард 200, 400 мг;</w:t>
            </w:r>
          </w:p>
          <w:p w14:paraId="7ED3EB3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2F3EE6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200 мг, суточная 400–600 мг (до 1600 мг)</w:t>
            </w:r>
          </w:p>
        </w:tc>
      </w:tr>
      <w:tr w:rsidR="00235320" w:rsidRPr="00235320" w14:paraId="5576587A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562EB2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EE30B3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Клоназепам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731E64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0,5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05B9BD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0,5–1 мг, суточная 3–6 мг (до 20 мг)</w:t>
            </w:r>
          </w:p>
        </w:tc>
      </w:tr>
      <w:tr w:rsidR="00235320" w:rsidRPr="00235320" w14:paraId="45BA0B8C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82D243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D2A5A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Прегабалин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28B09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Капсулы 25, 50, 75,100, 150, 200,300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60B2C9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75–300 мг, суточная 150– 600 мг</w:t>
            </w:r>
          </w:p>
        </w:tc>
      </w:tr>
      <w:tr w:rsidR="00235320" w:rsidRPr="00235320" w14:paraId="2E4CE7F9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D59D54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A57A8F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Габапентин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FA9B1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Капсулы 100, 300,</w:t>
            </w:r>
          </w:p>
          <w:p w14:paraId="6C1DCA5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400 мг;</w:t>
            </w:r>
          </w:p>
          <w:p w14:paraId="4DE8D39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809E2C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150–300 мг, суточная 900–1800 мг (3600 мг)</w:t>
            </w:r>
          </w:p>
        </w:tc>
      </w:tr>
      <w:tr w:rsidR="00235320" w:rsidRPr="00235320" w14:paraId="43147F60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76BF7A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407897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Ламотриджин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03294D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25, 50, 100 мг;</w:t>
            </w:r>
          </w:p>
          <w:p w14:paraId="7F84F5C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жевательные/раство-римые 5, 25, 100 мг;</w:t>
            </w:r>
          </w:p>
          <w:p w14:paraId="2AD61FA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387FD7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25–50 мг, суточная 200–400 мг</w:t>
            </w:r>
          </w:p>
        </w:tc>
      </w:tr>
      <w:tr w:rsidR="00235320" w:rsidRPr="00235320" w14:paraId="3DAB24B3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4674D2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A06E13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Диазепам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4FB39A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5 мг;</w:t>
            </w:r>
          </w:p>
          <w:p w14:paraId="74E05FE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0,5% 2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CB709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5–10 мг, суточная 5–20 мг (максимальная суточная доза 60 мг)</w:t>
            </w:r>
          </w:p>
        </w:tc>
      </w:tr>
      <w:tr w:rsidR="00235320" w:rsidRPr="00235320" w14:paraId="6B90FE8A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9ABCAA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E8B656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Бромдигидро-</w:t>
            </w:r>
          </w:p>
          <w:p w14:paraId="44BD10D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хлорфенил-бензодиазепин/ феназепам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43C7A8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3% и 0,1% – 1 мл;</w:t>
            </w:r>
          </w:p>
          <w:p w14:paraId="3F344B4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0,5, 1,0, 2,5 мг;</w:t>
            </w:r>
          </w:p>
          <w:p w14:paraId="5438C74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41922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0,5–1 мг, суточная 1,5–5 мг (максимальная суточная доза 10 мг)</w:t>
            </w:r>
          </w:p>
        </w:tc>
      </w:tr>
      <w:tr w:rsidR="00235320" w:rsidRPr="00235320" w14:paraId="2150FDB8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481F78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902F38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Галоперидол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1446B7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Капли для приема внутрь 2 мг/мл 30 мл;</w:t>
            </w:r>
          </w:p>
          <w:p w14:paraId="38DA7DE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внутривенного и внутримышечного введения 0,5% –1 мл;</w:t>
            </w:r>
          </w:p>
          <w:p w14:paraId="311DEFE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1,5 и 5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48A1B9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0,5мг, суточная 0,5–15 мг</w:t>
            </w:r>
          </w:p>
        </w:tc>
      </w:tr>
      <w:tr w:rsidR="00235320" w:rsidRPr="00235320" w14:paraId="6BAAE3A9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B22467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CF6668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Хлорпротексен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3C70E7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15 мг и 50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68306D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15 мг, суточная 15–300 мг</w:t>
            </w:r>
          </w:p>
        </w:tc>
      </w:tr>
      <w:tr w:rsidR="00235320" w:rsidRPr="00235320" w14:paraId="3F3027E7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5ECBE0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42370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Клонидин/</w:t>
            </w:r>
          </w:p>
          <w:p w14:paraId="2546F63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клофелин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E61806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0,075 и 0,15 мг;</w:t>
            </w:r>
          </w:p>
          <w:p w14:paraId="6D883ED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100 мкг/мл– 1 мл;</w:t>
            </w:r>
          </w:p>
          <w:p w14:paraId="1EDECFB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4D44A3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0,075–0,15мг, суточная 0,15–0,45 мг (до 0,9мг)</w:t>
            </w:r>
          </w:p>
        </w:tc>
      </w:tr>
      <w:tr w:rsidR="00235320" w:rsidRPr="00235320" w14:paraId="349FE558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5778F6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6C61F8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Толперизон/ мидокалм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9B3D96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Таблетки, покрытые пленочной оболочкой, 50 мг, 150 мг;</w:t>
            </w:r>
          </w:p>
          <w:p w14:paraId="43A8251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р-р для в/м введения 10% (ампулы) 1,0 мл;</w:t>
            </w:r>
          </w:p>
          <w:p w14:paraId="24A32FE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370ACB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50–150 мг, суточная 150– 450 мг</w:t>
            </w:r>
          </w:p>
        </w:tc>
      </w:tr>
      <w:tr w:rsidR="00235320" w:rsidRPr="00235320" w14:paraId="4C61D4FC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52E1F2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56E389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Тизанидин /</w:t>
            </w:r>
          </w:p>
          <w:p w14:paraId="707DEAD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сирдалуд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A65EB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2 мг, 4 мг;</w:t>
            </w:r>
          </w:p>
          <w:p w14:paraId="6E8B956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субстанция-порошок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BF04A5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2– мг, суточная 4–12 мг</w:t>
            </w:r>
          </w:p>
        </w:tc>
      </w:tr>
      <w:tr w:rsidR="00235320" w:rsidRPr="00235320" w14:paraId="3E45E160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034A37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E70A10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Дифен-</w:t>
            </w:r>
          </w:p>
          <w:p w14:paraId="21DDEF8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гидрамин/</w:t>
            </w:r>
          </w:p>
          <w:p w14:paraId="5A3B803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димедрол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7B273D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30, 50, 100 мг;</w:t>
            </w:r>
          </w:p>
          <w:p w14:paraId="5413630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1% – 1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6CB3F3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50–100 мг, суточная 200–250 мг</w:t>
            </w:r>
          </w:p>
        </w:tc>
      </w:tr>
      <w:tr w:rsidR="00235320" w:rsidRPr="00235320" w14:paraId="53DDC204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9E3EE0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82F475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Хлоропирамин /супрастин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8D0319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25 мг;</w:t>
            </w:r>
          </w:p>
          <w:p w14:paraId="560C348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20 мг/мл – 1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D48908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25 мг, суточная 75–100 мг</w:t>
            </w:r>
          </w:p>
        </w:tc>
      </w:tr>
      <w:tr w:rsidR="00235320" w:rsidRPr="00235320" w14:paraId="2557D15D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D69030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0A5C26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Клемастин</w:t>
            </w:r>
          </w:p>
          <w:p w14:paraId="3220300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/тавегил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7E050D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1 мг/мл – 2 мл;</w:t>
            </w:r>
          </w:p>
          <w:p w14:paraId="138B2EF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D94824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1–2 мг, суточная 2–4 мг (до 6 мг)</w:t>
            </w:r>
          </w:p>
        </w:tc>
      </w:tr>
      <w:tr w:rsidR="00235320" w:rsidRPr="00235320" w14:paraId="3521B09A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507AD4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28E99F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Ранитидин</w:t>
            </w:r>
          </w:p>
          <w:p w14:paraId="33B55C2B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/зантак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F9DA36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150 мг,</w:t>
            </w:r>
          </w:p>
          <w:p w14:paraId="6D91B53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300 мг;</w:t>
            </w:r>
          </w:p>
          <w:p w14:paraId="09E1542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шипучие 150, 300 мг;</w:t>
            </w:r>
          </w:p>
          <w:p w14:paraId="2465070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25 мг/мл – 2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2CA476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150 мг, суточная 300 мг</w:t>
            </w:r>
          </w:p>
        </w:tc>
      </w:tr>
      <w:tr w:rsidR="00235320" w:rsidRPr="00235320" w14:paraId="39185544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880E5A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3F70C1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Метоклопрамид / церукал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798833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(блистеры) 10 мг;</w:t>
            </w:r>
          </w:p>
          <w:p w14:paraId="20EE7DD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раствор для инъекций (ампулы) 10 мг – 2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85D948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5– 0 мг, суточная 40–60 мг</w:t>
            </w:r>
          </w:p>
        </w:tc>
      </w:tr>
      <w:tr w:rsidR="00235320" w:rsidRPr="00235320" w14:paraId="49CE7130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58BD12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E432B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Бисакодил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07982A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 5 мг;</w:t>
            </w:r>
          </w:p>
          <w:p w14:paraId="1095E5B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драже 5 мг;</w:t>
            </w:r>
          </w:p>
          <w:p w14:paraId="61993A12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свечи ректальные 10 мг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55BA0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5–15 мг, суточная 5–20 мг</w:t>
            </w:r>
          </w:p>
        </w:tc>
      </w:tr>
      <w:tr w:rsidR="00235320" w:rsidRPr="00235320" w14:paraId="602C48B6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D925B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887B65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Препараты сенны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6A120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43414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По 1 табл. 1 р./сут., до 2–3 табл./сут.</w:t>
            </w:r>
          </w:p>
        </w:tc>
      </w:tr>
      <w:tr w:rsidR="00235320" w:rsidRPr="00235320" w14:paraId="02C8E110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DEE5AF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C2572D3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Лактулоза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3B2FD78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Сироп (содержание лактулозы в 15 мл – 10 г) во флаконе 15 мл или в бутылке объемом от 200 до 1000 мл;</w:t>
            </w:r>
          </w:p>
          <w:p w14:paraId="24B29EE4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сироп (содержание лактулозы в 5 мл – 3,325 г) во флаконе 200 или 240 мл.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386507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15–45 мл, суточная 15–60 мл</w:t>
            </w:r>
          </w:p>
        </w:tc>
      </w:tr>
      <w:tr w:rsidR="00235320" w:rsidRPr="00235320" w14:paraId="3FCE1336" w14:textId="77777777" w:rsidTr="00235320">
        <w:tc>
          <w:tcPr>
            <w:tcW w:w="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F6EC667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7BE41F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Гутталакс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8F5D53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Капли для приема внутрь 7,5 мг/мл, 15 и 30 мл</w:t>
            </w:r>
          </w:p>
        </w:tc>
        <w:tc>
          <w:tcPr>
            <w:tcW w:w="4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A022839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Разовая доза 5–10 мг (10–20 капель), суточная 5–15 мг (10–30 капель)Диагностика интенсивности болевого синдрома</w:t>
            </w:r>
          </w:p>
        </w:tc>
      </w:tr>
    </w:tbl>
    <w:p w14:paraId="5FC3C5DF" w14:textId="77777777" w:rsidR="00235320" w:rsidRPr="00235320" w:rsidRDefault="00235320" w:rsidP="00235320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Оценка интенсивности боли проводится врачом при каждом визите и осмотре онкологического больного.</w:t>
      </w:r>
    </w:p>
    <w:p w14:paraId="748AF23F" w14:textId="77777777" w:rsidR="00235320" w:rsidRPr="00235320" w:rsidRDefault="00235320" w:rsidP="00235320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Интенсивность боли оценивается по цифровой рейтинговой шкале (ЦРШ) или по визуально-аналоговой шкале (ВАШ), лицевой шкале боли. Больному предлагается отметить свое восприятие боли на шкале (от минимальной, до нестерпимой), что позволяет затем количественно выразить оценку в процентах от 0 до 100%.</w:t>
      </w:r>
    </w:p>
    <w:p w14:paraId="117C4CDB" w14:textId="77777777" w:rsidR="00235320" w:rsidRPr="00235320" w:rsidRDefault="00235320" w:rsidP="00235320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Оценку интенсивности боли проводят отдельно при движении и в состоянии покоя.</w:t>
      </w:r>
    </w:p>
    <w:p w14:paraId="689D2BAC" w14:textId="77777777" w:rsidR="00235320" w:rsidRPr="00235320" w:rsidRDefault="00235320" w:rsidP="00235320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Шкалы для оценки интенсивности боли</w:t>
      </w:r>
    </w:p>
    <w:p w14:paraId="70A15593" w14:textId="77777777" w:rsidR="00235320" w:rsidRPr="00235320" w:rsidRDefault="00235320" w:rsidP="00235320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Для получения дополнительной информации необходимо расспросить больного, собрать анамнез боли:</w:t>
      </w:r>
    </w:p>
    <w:p w14:paraId="785CDE69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число и локализацию очагов боли;</w:t>
      </w:r>
    </w:p>
    <w:p w14:paraId="1DCD65A5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длительность предшествующего болевого анамнеза;</w:t>
      </w:r>
    </w:p>
    <w:p w14:paraId="6BC13C63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применяемые анальгетики;</w:t>
      </w:r>
    </w:p>
    <w:p w14:paraId="6F368CCF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эффективность предшествующей терапии боли;</w:t>
      </w:r>
    </w:p>
    <w:p w14:paraId="1AC4E24E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влияние боли на физическую активность;</w:t>
      </w:r>
    </w:p>
    <w:p w14:paraId="0E2A7C9E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влияние боли на продолжительность ночного сна;</w:t>
      </w:r>
    </w:p>
    <w:p w14:paraId="0EFB684F" w14:textId="77777777" w:rsidR="00235320" w:rsidRPr="00235320" w:rsidRDefault="00235320" w:rsidP="00235320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влияние боли на возможность приема пищи и проч.</w:t>
      </w:r>
    </w:p>
    <w:p w14:paraId="5DDD46EF" w14:textId="77777777" w:rsidR="00235320" w:rsidRPr="00235320" w:rsidRDefault="00235320" w:rsidP="00235320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Сопоставив полученные сведения с данными Шкалы боли, следует определить степень интенсивности боли.</w:t>
      </w:r>
    </w:p>
    <w:p w14:paraId="0CF72D6C" w14:textId="77777777" w:rsidR="00235320" w:rsidRPr="00235320" w:rsidRDefault="00235320" w:rsidP="00235320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Диагностические критерии интенсивности боли в зависимости от симптомов</w:t>
      </w:r>
    </w:p>
    <w:tbl>
      <w:tblPr>
        <w:tblW w:w="9206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07"/>
        <w:gridCol w:w="7241"/>
      </w:tblGrid>
      <w:tr w:rsidR="00235320" w:rsidRPr="00235320" w14:paraId="2744EC50" w14:textId="77777777" w:rsidTr="00235320">
        <w:trPr>
          <w:trHeight w:val="914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1963F9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Интенсивность болевого синдрома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C130010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ВАШ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FF64F1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Проявление боли, симптомы</w:t>
            </w:r>
          </w:p>
        </w:tc>
      </w:tr>
      <w:tr w:rsidR="00235320" w:rsidRPr="00235320" w14:paraId="1E8E13D0" w14:textId="77777777" w:rsidTr="00235320">
        <w:trPr>
          <w:trHeight w:val="562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A2A938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Боли нет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E69788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F42BE5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Жалоб нет</w:t>
            </w:r>
          </w:p>
        </w:tc>
      </w:tr>
      <w:tr w:rsidR="00235320" w:rsidRPr="00235320" w14:paraId="7461C21B" w14:textId="77777777" w:rsidTr="00235320">
        <w:trPr>
          <w:trHeight w:val="1265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B9AC91C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1 ступень слабая боль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C221A0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до 40%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34C623F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Больной спокойно сообщает о своей боли, которая хорошо купируется на 4-6 часов парацетамолом, анальгином или средними дозами НПВП, ночной сон не нарушен из-за боли</w:t>
            </w:r>
          </w:p>
        </w:tc>
      </w:tr>
      <w:tr w:rsidR="00235320" w:rsidRPr="00235320" w14:paraId="75423412" w14:textId="77777777" w:rsidTr="00235320">
        <w:trPr>
          <w:trHeight w:val="914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6080F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 ступень умеренная боль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2415B6D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40-70%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05D458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Парацетамол, анальгин или средние дозы НПВП малоэффективны (не более 1-3 часов), ночной сон нарушен приступами боли</w:t>
            </w:r>
          </w:p>
        </w:tc>
      </w:tr>
      <w:tr w:rsidR="00235320" w:rsidRPr="00235320" w14:paraId="4B9BD6CE" w14:textId="77777777" w:rsidTr="00235320">
        <w:trPr>
          <w:trHeight w:val="1242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7D48E6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 ступень сильная боль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068B70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более 70%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C434431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Трамадол в комбинации с парацетамолом или анальгином или НПВП - малоэффективен, боль вызывает страдание у пациента при воспоминании о ней, нарушает его ночной сон</w:t>
            </w:r>
          </w:p>
        </w:tc>
      </w:tr>
      <w:tr w:rsidR="00235320" w:rsidRPr="00235320" w14:paraId="0C55C535" w14:textId="77777777" w:rsidTr="00235320">
        <w:trPr>
          <w:trHeight w:val="1383"/>
        </w:trPr>
        <w:tc>
          <w:tcPr>
            <w:tcW w:w="13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48C7E3E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 ступень нестерпимая боль</w:t>
            </w:r>
          </w:p>
        </w:tc>
        <w:tc>
          <w:tcPr>
            <w:tcW w:w="6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CD3EF76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9963AAA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Больной на момент осмотра мечется, стонет, страдает от сильнейшей боли, принимает вынужденное положение</w:t>
            </w:r>
          </w:p>
          <w:p w14:paraId="53555975" w14:textId="77777777" w:rsidR="00235320" w:rsidRPr="00235320" w:rsidRDefault="00235320" w:rsidP="0023532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235320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Необходима неотложная помощь</w:t>
            </w:r>
          </w:p>
        </w:tc>
      </w:tr>
    </w:tbl>
    <w:p w14:paraId="517B44B7" w14:textId="77777777" w:rsidR="00235320" w:rsidRPr="00235320" w:rsidRDefault="00235320" w:rsidP="00235320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Алгоритм действий участкового врача.</w:t>
      </w:r>
    </w:p>
    <w:p w14:paraId="0107FEBF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Осмотр пациента, оценка болевого синдрома по Шкале боли.</w:t>
      </w:r>
    </w:p>
    <w:p w14:paraId="2AC485D5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По результатам осмотра пациента участковым врачом назначаются лекарственные препараты для купирования болевого синдрома, согласно «Лестнице обезболивания» ВОЗ, при необходимости добавляется адъювантная терапия.</w:t>
      </w:r>
    </w:p>
    <w:p w14:paraId="504F08CE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При первичном назначении обезболивающей терапии в медицинской карте амбулаторного больного вклеивается Шкала боли с отражением выраженности болевого синдрома. Оценка эффективности терапии и выраженности болевого синдрома проводится через 3 дня, с отражением динамики в амбулаторной карте.</w:t>
      </w:r>
    </w:p>
    <w:p w14:paraId="0311B6AC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 медицинской карте амбулаторного больного при каждом осмотре пациента с ХБС вклеивается Шкала боли с отражением динамики на фоне приема обезболивающей терапии, динамика ХБС отражается и в диагнозе (например: на фоне приема ТТС Фентанил ХБС - 0).</w:t>
      </w:r>
    </w:p>
    <w:p w14:paraId="59998899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Динамическое наблюдение пациентов с ХБС осуществляется участковым терапевтом не реже 1 раза в две недели, патронаж участковой медицинской сестры не реже одного раза в неделю.</w:t>
      </w:r>
    </w:p>
    <w:p w14:paraId="721A448D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Участковый терапевт при каждом посещении пациента проводит разъяснительную работу с родственниками по уходу за тяжелобольными пациентами, о необходимости своевременного приема препаратов, правилах получения сильнодействующих лекарственных препаратов, соблюдении всех назначений лечащего врача.</w:t>
      </w:r>
    </w:p>
    <w:p w14:paraId="74C4C670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Участковый терапевт осуществляет выписку НС и ПВ согласно Приказа КГБУЗ «КМБ № 3» от 09.01.2018г. № 083 «Об учете, хранении, целесообразности назначения наркотических средств и сильнодействующих веществ».</w:t>
      </w:r>
    </w:p>
    <w:p w14:paraId="3BFDA236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В случае смерти или смены места жительства пациента, принимающего НС участковый терапевт незамедлительно предоставляет информацию заместителя главного врача по МЧ.</w:t>
      </w:r>
    </w:p>
    <w:p w14:paraId="0C44BE46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t>Участковый терапевт берет на диспансерный учет всех пациентов с ЗНО, в ф. 025/у оформляется эпикриз взятия на диспансерный учет пациента с ЗНО. Участковый терапевт регулярно направляет пациентов с ЗНО на консультацию к врачу онкологу в КГБУЗ КККОД.</w:t>
      </w:r>
    </w:p>
    <w:p w14:paraId="44442FF0" w14:textId="77777777" w:rsidR="00235320" w:rsidRPr="00235320" w:rsidRDefault="00235320" w:rsidP="00235320">
      <w:pPr>
        <w:numPr>
          <w:ilvl w:val="0"/>
          <w:numId w:val="5"/>
        </w:numPr>
        <w:shd w:val="clear" w:color="auto" w:fill="FFFFFF"/>
        <w:spacing w:after="15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235320">
        <w:rPr>
          <w:rFonts w:ascii="Tahoma" w:eastAsia="Times New Roman" w:hAnsi="Tahoma" w:cs="Tahoma"/>
          <w:color w:val="424242"/>
          <w:lang w:eastAsia="ru-RU"/>
        </w:rPr>
        <w:lastRenderedPageBreak/>
        <w:t>Участковый терапевт не реже 1 раза в квартал заполняет в медицинской карте амбулаторного больного этапные эпикризы пациентов с ЗНО 3 - 4 ст., с отражением динамики состояния и коррекцией терапии. В конце года на каждого пациента с ЗНО заполняется годовой эпикриз.</w:t>
      </w:r>
    </w:p>
    <w:p w14:paraId="5AA2567D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08B2"/>
    <w:multiLevelType w:val="multilevel"/>
    <w:tmpl w:val="AA38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03FF"/>
    <w:multiLevelType w:val="multilevel"/>
    <w:tmpl w:val="E2B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11ABB"/>
    <w:multiLevelType w:val="multilevel"/>
    <w:tmpl w:val="4626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05740"/>
    <w:multiLevelType w:val="multilevel"/>
    <w:tmpl w:val="D34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F2213"/>
    <w:multiLevelType w:val="multilevel"/>
    <w:tmpl w:val="D8862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C"/>
    <w:rsid w:val="00117239"/>
    <w:rsid w:val="00235320"/>
    <w:rsid w:val="00870087"/>
    <w:rsid w:val="00D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01F0-15B2-4AA2-B637-E8FFF9D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2019-08-07T00:17:00Z</dcterms:created>
  <dcterms:modified xsi:type="dcterms:W3CDTF">2019-08-07T00:18:00Z</dcterms:modified>
</cp:coreProperties>
</file>