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2" w:rsidRPr="00BF6FC2" w:rsidRDefault="00BF6FC2" w:rsidP="00BF6FC2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F6FC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Тарифы на платные услуги. Порядок расчетов</w:t>
      </w:r>
      <w:r w:rsidRPr="00BF6FC2">
        <w:rPr>
          <w:rFonts w:ascii="Arial" w:eastAsia="Times New Roman" w:hAnsi="Arial" w:cs="Arial"/>
          <w:b/>
          <w:bCs/>
          <w:color w:val="444444"/>
          <w:sz w:val="15"/>
          <w:szCs w:val="15"/>
          <w:vertAlign w:val="superscript"/>
          <w:lang w:eastAsia="ru-RU"/>
        </w:rPr>
        <w:t>1</w:t>
      </w:r>
    </w:p>
    <w:p w:rsidR="00BF6FC2" w:rsidRPr="00BF6FC2" w:rsidRDefault="00BF6FC2" w:rsidP="00BF6FC2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F6F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Оплата за оказание платной услуги производится на основании договора на оказание платных медицинских услуг юридическим лицам, согласно действующего тарифа.</w:t>
      </w:r>
    </w:p>
    <w:p w:rsidR="00BF6FC2" w:rsidRPr="00BF6FC2" w:rsidRDefault="00BF6FC2" w:rsidP="00BF6FC2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F6F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Расчеты с организациями, администрациями территорий за оказываемые платные услуги производятся путем перечисления денежных средств на расчетный счет учреждения.</w:t>
      </w:r>
    </w:p>
    <w:p w:rsidR="00BF6FC2" w:rsidRPr="00BF6FC2" w:rsidRDefault="00BF6FC2" w:rsidP="00BF6FC2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F6F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Расчеты за оказываемые услуги с организациями, администрациями территорий производятся в сроки, предусмотренные договором на оказание платных медицинских услуг.</w:t>
      </w:r>
    </w:p>
    <w:p w:rsidR="00BF6FC2" w:rsidRPr="00BF6FC2" w:rsidRDefault="00BF6FC2" w:rsidP="00BF6FC2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F6F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Расчеты осуществляются на основании актов выполненных работ по предъявлению счетов-фактур, счетов на оплату.</w:t>
      </w:r>
    </w:p>
    <w:tbl>
      <w:tblPr>
        <w:tblW w:w="907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130"/>
        <w:gridCol w:w="1488"/>
        <w:gridCol w:w="1006"/>
      </w:tblGrid>
      <w:tr w:rsidR="00BF6FC2" w:rsidRPr="00BF6FC2" w:rsidTr="00BF6FC2">
        <w:tc>
          <w:tcPr>
            <w:tcW w:w="0" w:type="auto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before="225"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Наименование платных медицинских услуг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Тариф.</w:t>
            </w:r>
          </w:p>
        </w:tc>
      </w:tr>
      <w:tr w:rsidR="00BF6FC2" w:rsidRPr="00BF6FC2" w:rsidTr="00BF6FC2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1  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before="375" w:after="225" w:line="270" w:lineRule="atLeast"/>
              <w:jc w:val="both"/>
              <w:textAlignment w:val="center"/>
              <w:outlineLvl w:val="2"/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</w:pPr>
            <w:r w:rsidRPr="00BF6FC2"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  <w:t>Скорая помощь на мероприятия</w:t>
            </w:r>
          </w:p>
          <w:p w:rsidR="00BF6FC2" w:rsidRPr="00BF6FC2" w:rsidRDefault="00BF6FC2" w:rsidP="00BF6FC2">
            <w:pPr>
              <w:spacing w:before="225" w:after="225" w:line="240" w:lineRule="auto"/>
              <w:jc w:val="both"/>
              <w:textAlignment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Оказание скорой медицинской помощи вне медицинской организации по скорой медицинской помощи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2000-00 руб.</w:t>
            </w:r>
          </w:p>
        </w:tc>
      </w:tr>
      <w:tr w:rsidR="00BF6FC2" w:rsidRPr="00BF6FC2" w:rsidTr="00BF6FC2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before="375" w:after="225" w:line="270" w:lineRule="atLeast"/>
              <w:jc w:val="both"/>
              <w:textAlignment w:val="center"/>
              <w:outlineLvl w:val="2"/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</w:pPr>
            <w:proofErr w:type="spellStart"/>
            <w:r w:rsidRPr="00BF6FC2"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  <w:t>Предрейсовый</w:t>
            </w:r>
            <w:proofErr w:type="spellEnd"/>
            <w:r w:rsidRPr="00BF6FC2"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  <w:t xml:space="preserve"> медицинский осмотр водителей</w:t>
            </w:r>
          </w:p>
          <w:p w:rsidR="00BF6FC2" w:rsidRPr="00BF6FC2" w:rsidRDefault="00BF6FC2" w:rsidP="00BF6FC2">
            <w:pPr>
              <w:spacing w:before="225" w:after="225" w:line="240" w:lineRule="auto"/>
              <w:jc w:val="both"/>
              <w:textAlignment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послерейсовый</w:t>
            </w:r>
            <w:proofErr w:type="spellEnd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 осмотр </w:t>
            </w: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(16 минут)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104-00 руб.</w:t>
            </w:r>
          </w:p>
        </w:tc>
      </w:tr>
      <w:tr w:rsidR="00BF6FC2" w:rsidRPr="00BF6FC2" w:rsidTr="00BF6FC2"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before="375" w:after="225" w:line="270" w:lineRule="atLeast"/>
              <w:jc w:val="both"/>
              <w:textAlignment w:val="center"/>
              <w:outlineLvl w:val="2"/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</w:pPr>
            <w:proofErr w:type="spellStart"/>
            <w:r w:rsidRPr="00BF6FC2"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  <w:t>Предрейсовый</w:t>
            </w:r>
            <w:proofErr w:type="spellEnd"/>
            <w:r w:rsidRPr="00BF6FC2">
              <w:rPr>
                <w:rFonts w:ascii="Maven Pro" w:eastAsia="Times New Roman" w:hAnsi="Maven Pro" w:cs="Arial"/>
                <w:color w:val="C1433F"/>
                <w:sz w:val="27"/>
                <w:szCs w:val="27"/>
                <w:lang w:eastAsia="ru-RU"/>
              </w:rPr>
              <w:t xml:space="preserve"> медицинский осмотр водителей *в выходные и праздничные дни</w:t>
            </w:r>
          </w:p>
          <w:p w:rsidR="00BF6FC2" w:rsidRPr="00BF6FC2" w:rsidRDefault="00BF6FC2" w:rsidP="00BF6FC2">
            <w:pPr>
              <w:spacing w:before="225" w:after="225" w:line="240" w:lineRule="auto"/>
              <w:jc w:val="both"/>
              <w:textAlignment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послерейсовый</w:t>
            </w:r>
            <w:proofErr w:type="spellEnd"/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медицинский осмотр водителей *в выходные и праздничные дни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 осмотр </w:t>
            </w: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(16 минут)</w:t>
            </w:r>
          </w:p>
        </w:tc>
        <w:tc>
          <w:tcPr>
            <w:tcW w:w="0" w:type="auto"/>
            <w:tcBorders>
              <w:left w:val="single" w:sz="6" w:space="0" w:color="CDCDCD"/>
              <w:bottom w:val="single" w:sz="6" w:space="0" w:color="D3D3D3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BF6FC2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206-00 руб.</w:t>
            </w:r>
          </w:p>
        </w:tc>
      </w:tr>
    </w:tbl>
    <w:p w:rsidR="00BF6FC2" w:rsidRPr="00BF6FC2" w:rsidRDefault="00BF6FC2" w:rsidP="00BF6FC2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F6FC2">
        <w:rPr>
          <w:rFonts w:ascii="Arial" w:eastAsia="Times New Roman" w:hAnsi="Arial" w:cs="Arial"/>
          <w:color w:val="444444"/>
          <w:sz w:val="15"/>
          <w:szCs w:val="15"/>
          <w:vertAlign w:val="superscript"/>
          <w:lang w:eastAsia="ru-RU"/>
        </w:rPr>
        <w:t>1</w:t>
      </w:r>
      <w:r w:rsidRPr="00BF6F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Тарифы на платные медицинские услуги составлены в соответствии с приказом Министерства здравоохранения Свердловской области от 20.02.2017 г. №268-п «Об утверждении Порядка определения цен (тарифов) на платные 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области».</w:t>
      </w:r>
    </w:p>
    <w:p w:rsidR="004E2DA5" w:rsidRDefault="004E2DA5">
      <w:bookmarkStart w:id="0" w:name="_GoBack"/>
      <w:bookmarkEnd w:id="0"/>
    </w:p>
    <w:sectPr w:rsidR="004E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A"/>
    <w:rsid w:val="00415F2A"/>
    <w:rsid w:val="004E2DA5"/>
    <w:rsid w:val="00B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BF15-C79C-44B4-8479-4EE2CED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6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2019-09-25T04:54:00Z</dcterms:created>
  <dcterms:modified xsi:type="dcterms:W3CDTF">2019-09-25T04:54:00Z</dcterms:modified>
</cp:coreProperties>
</file>