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05" w:rsidRDefault="003E1D37">
      <w:r>
        <w:rPr>
          <w:rStyle w:val="a3"/>
          <w:rFonts w:ascii="Arial" w:hAnsi="Arial" w:cs="Arial"/>
          <w:color w:val="19A3C8"/>
          <w:sz w:val="21"/>
          <w:szCs w:val="21"/>
          <w:bdr w:val="none" w:sz="0" w:space="0" w:color="auto" w:frame="1"/>
          <w:shd w:val="clear" w:color="auto" w:fill="FFFFFF"/>
        </w:rPr>
        <w:t>Стоматологические услуги, предоставляемые платно: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1. Лечение кариеса и его осложнений с применением современных методик, в том числе лечение периодонтита (разрушение костной ткани в области корня зуба) консервативным методом;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2. Подготовка зубов к протезированию;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3. Эстетическая реставрация (при необходимости с использованием волоконных конструкций для армирования композитных реставраций);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4. Адгезивное шинирование при патологической подвижности зубов (при заболеваниях тканей пародонта, травмах);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5. Восстановление одиночно утраченного зуба адгезивным мостовидным протезом в одно посещение (в том числе в день удаления);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6. Профессиональная гигиена полости рта, как профилактика кариеса и заболеваний тканей пародонта с использованием ультразвуковых аппаратов, полирующих паст;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7. Профилактика кариеса и его осложнений у детей (обучение гигиене полости рта, реминерализующая терапия с использованием фторсодержащих гелей и паст, серебрение зубов, герметизация фиссур, глубокое фторирование);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8. Лечение кариеса на ранней стадии без препарирования бором с применением инновационного лечения методом инфильтрации;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9. Лечение заболеваний тканей пародонта консервативными и хирургическими методами лечения с использованием остеотропных материалов;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10. Удаление зубов;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11. Зубосохраняющие операции;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12. Физиотерапия (дарсонваль, флюктуоризация, электрофорез, лазеротерапия);</w:t>
      </w:r>
      <w:r>
        <w:rPr>
          <w:rFonts w:ascii="Arial" w:hAnsi="Arial" w:cs="Arial"/>
          <w:color w:val="585A59"/>
          <w:sz w:val="21"/>
          <w:szCs w:val="21"/>
        </w:rPr>
        <w:br/>
      </w:r>
      <w:r>
        <w:rPr>
          <w:rFonts w:ascii="Arial" w:hAnsi="Arial" w:cs="Arial"/>
          <w:color w:val="585A59"/>
          <w:sz w:val="21"/>
          <w:szCs w:val="21"/>
          <w:shd w:val="clear" w:color="auto" w:fill="FFFFFF"/>
        </w:rPr>
        <w:t>13.Прием семейного врача.</w:t>
      </w:r>
      <w:bookmarkStart w:id="0" w:name="_GoBack"/>
      <w:bookmarkEnd w:id="0"/>
    </w:p>
    <w:sectPr w:rsidR="0079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3E1D37"/>
    <w:rsid w:val="00796205"/>
    <w:rsid w:val="00C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07FD4-A5E2-4E27-B1B6-81D2B099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2019-11-12T07:08:00Z</dcterms:created>
  <dcterms:modified xsi:type="dcterms:W3CDTF">2019-11-12T07:08:00Z</dcterms:modified>
</cp:coreProperties>
</file>