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3A04" w14:textId="77777777" w:rsidR="00C800EC" w:rsidRPr="00C800EC" w:rsidRDefault="00C800EC" w:rsidP="00C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Руководитель - доктор медицинских наук, профессор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Заводовский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 Борис Валерьевич</w:t>
      </w:r>
    </w:p>
    <w:p w14:paraId="284777F5" w14:textId="77777777" w:rsidR="00C800EC" w:rsidRPr="00C800EC" w:rsidRDefault="00C800EC" w:rsidP="00C800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C800EC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  </w:t>
      </w:r>
      <w:r w:rsidRPr="00C800EC">
        <w:rPr>
          <w:rFonts w:ascii="Verdana" w:eastAsia="Times New Roman" w:hAnsi="Verdana" w:cs="Tahoma"/>
          <w:color w:val="525252"/>
          <w:sz w:val="18"/>
          <w:szCs w:val="18"/>
          <w:lang w:eastAsia="ru-RU"/>
        </w:rPr>
        <w:t xml:space="preserve">  В лаборатории методов лечения и профилактики заболеваний суставов на протяжении ряда лет изучались вопросы </w:t>
      </w:r>
      <w:proofErr w:type="gramStart"/>
      <w:r w:rsidRPr="00C800EC">
        <w:rPr>
          <w:rFonts w:ascii="Verdana" w:eastAsia="Times New Roman" w:hAnsi="Verdana" w:cs="Tahoma"/>
          <w:color w:val="525252"/>
          <w:sz w:val="18"/>
          <w:szCs w:val="18"/>
          <w:lang w:eastAsia="ru-RU"/>
        </w:rPr>
        <w:t>этиологии ,</w:t>
      </w:r>
      <w:proofErr w:type="gramEnd"/>
      <w:r w:rsidRPr="00C800EC">
        <w:rPr>
          <w:rFonts w:ascii="Verdana" w:eastAsia="Times New Roman" w:hAnsi="Verdana" w:cs="Tahoma"/>
          <w:color w:val="525252"/>
          <w:sz w:val="18"/>
          <w:szCs w:val="18"/>
          <w:lang w:eastAsia="ru-RU"/>
        </w:rPr>
        <w:t xml:space="preserve"> патогенеза и лечения ревматических заболеваний. Было показано, что при ревматоидном артрите важную роль играют иммунные реакции с антигенами стрептококков группы В. Подробно изучена роль ревматоидных факторов различных классов в патогенезе данного заболевания.</w:t>
      </w:r>
    </w:p>
    <w:p w14:paraId="58D1B6F0" w14:textId="77777777" w:rsidR="00C800EC" w:rsidRPr="00C800EC" w:rsidRDefault="00C800EC" w:rsidP="00C800EC">
      <w:pPr>
        <w:spacing w:after="0" w:line="240" w:lineRule="auto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    Большое внимание уделялось прогнозированию эффективности различных препаратов при лечении ревматоидного артрита и деформирующего остеоартроза. Были разработаны методы, позволяющие прогнозировать эффективность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купренила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, метотрексата, препаратов золота при РА, а также хондропротекторов при ДОА. Были предложены схемы лечения РА с использованием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лазеропунктуры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 и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диметилсульфоксида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.</w:t>
      </w:r>
    </w:p>
    <w:p w14:paraId="0063F33A" w14:textId="77777777" w:rsidR="00C800EC" w:rsidRPr="00C800EC" w:rsidRDefault="00C800EC" w:rsidP="00C800EC">
      <w:pPr>
        <w:spacing w:after="0" w:line="240" w:lineRule="auto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    Разработаны новые методы диагностики и дифференциальной диагностики СКВ, РА, ССД, ББ, реактивных артритов путем исследования внутриклеточных ферментов-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миелопероксидазы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, 5нуклеотидазы,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сукцинатдегидрогеназы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, АТФ-азы. Исследовано слияние базисных препаратов, </w:t>
      </w:r>
      <w:proofErr w:type="spellStart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глюкокортикостероидов</w:t>
      </w:r>
      <w:proofErr w:type="spellEnd"/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, нестероидных противовоспалительных препаратов, плазмафереза на энзимные показатели, показана возможность прогнозирования результатов терапии в зависимости от лабораторных данных.</w:t>
      </w:r>
    </w:p>
    <w:p w14:paraId="1576A9FA" w14:textId="77777777" w:rsidR="00C800EC" w:rsidRPr="00C800EC" w:rsidRDefault="00C800EC" w:rsidP="00C800EC">
      <w:pPr>
        <w:spacing w:after="0" w:line="240" w:lineRule="auto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   Выполняется работа по созданию новых схем базисной терапии ревматических заболеваний, основанных на синхронизации митозов лимфоидных клеток с последующим их фармакологическим лизисом.</w:t>
      </w:r>
    </w:p>
    <w:p w14:paraId="04638E41" w14:textId="77777777" w:rsidR="00C800EC" w:rsidRPr="00C800EC" w:rsidRDefault="00C800EC" w:rsidP="00C800EC">
      <w:pPr>
        <w:spacing w:after="0" w:line="240" w:lineRule="auto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   Важное место в работе лаборатории отводится диагностике, лечению и профилактике остеопороза. Проводятся эпидемиологические исследования по распространенности, особенностям течения данного заболевания в регионе Нижнего Поволжья, разрабатываются оригинальные схемы терапии и методы, позволяющие контролировать эффективность лечения остеопороза.</w:t>
      </w:r>
    </w:p>
    <w:p w14:paraId="4A089544" w14:textId="7A54F875" w:rsidR="007914E2" w:rsidRDefault="00C800EC" w:rsidP="00C800EC">
      <w:r w:rsidRPr="00C800EC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   В клиническую практику внедрено более 30 диагностических и лечебных методов. Опубликовано 130 работ, защищено 8 кандидатских и 1 докторская диссертация.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6"/>
    <w:rsid w:val="00520016"/>
    <w:rsid w:val="007914E2"/>
    <w:rsid w:val="00C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402B-646B-4CD5-A314-F6ADAEB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2019-07-26T04:12:00Z</dcterms:created>
  <dcterms:modified xsi:type="dcterms:W3CDTF">2019-07-26T04:12:00Z</dcterms:modified>
</cp:coreProperties>
</file>