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D" w:rsidRPr="003D1BFD" w:rsidRDefault="003D1BFD" w:rsidP="003D1BFD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  <w:r w:rsidRPr="003D1BFD"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  <w:t>О ПРАВИЛАХ ПОДГОТОВКИ К ДИАГНОСТИЧЕСКИМ ИССЛЕДОВАНИЯМ</w:t>
      </w:r>
    </w:p>
    <w:p w:rsidR="003D1BFD" w:rsidRPr="003D1BFD" w:rsidRDefault="003D1BFD" w:rsidP="003D1BF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</w:pP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t>1. Проведение ультразвукового исследования  органов брюшной полости (печени, желчного пузыря, селезенки, поджелудочной железы).</w:t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  <w:t>1)  Накануне обследования необходимо в течении 3 дней соблюдать диету: исключить молочные продукты, овощи, фрукты, содержащие в большом количестве клетчатку, хлеб грубого помола, бобовые).</w:t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  <w:t>2) При выраженном метеоризме принимать активированный уголь (развести в ½ ст. теплотой воды измельченные в порошок 5-8 таблеток активированного угля),  эспумизан по 1 таб х 3 раза в день  для уменьшения газообразования.</w:t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  <w:t>3) Накануне, вечером, не позже 18 часов,  легкий ужин без овощей и молочных продуктов.</w:t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</w:r>
      <w:r w:rsidRPr="003D1BFD">
        <w:rPr>
          <w:rFonts w:ascii="PT Sans Narrow" w:eastAsia="Times New Roman" w:hAnsi="PT Sans Narrow" w:cs="Times New Roman"/>
          <w:color w:val="333333"/>
          <w:sz w:val="26"/>
          <w:szCs w:val="26"/>
          <w:lang w:eastAsia="ru-RU"/>
        </w:rPr>
        <w:br/>
        <w:t>4). На исследование необходимо являться натощак (не пить таблетки, воду, чай).</w:t>
      </w:r>
    </w:p>
    <w:p w:rsidR="00245488" w:rsidRDefault="00245488"/>
    <w:sectPr w:rsidR="00245488" w:rsidSect="0024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BFD"/>
    <w:rsid w:val="00245488"/>
    <w:rsid w:val="003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88"/>
  </w:style>
  <w:style w:type="paragraph" w:styleId="2">
    <w:name w:val="heading 2"/>
    <w:basedOn w:val="a"/>
    <w:link w:val="20"/>
    <w:uiPriority w:val="9"/>
    <w:qFormat/>
    <w:rsid w:val="003D1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2019-09-10T13:03:00Z</dcterms:created>
  <dcterms:modified xsi:type="dcterms:W3CDTF">2019-09-10T13:03:00Z</dcterms:modified>
</cp:coreProperties>
</file>