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B2" w:rsidRPr="002D09B2" w:rsidRDefault="002D09B2" w:rsidP="002D09B2">
      <w:pPr>
        <w:shd w:val="clear" w:color="auto" w:fill="FFFFFF"/>
        <w:spacing w:before="100" w:beforeAutospacing="1" w:after="100" w:afterAutospacing="1" w:line="240" w:lineRule="auto"/>
        <w:outlineLvl w:val="3"/>
        <w:rPr>
          <w:rFonts w:ascii="Arial" w:eastAsia="Times New Roman" w:hAnsi="Arial" w:cs="Arial"/>
          <w:b/>
          <w:bCs/>
          <w:color w:val="333333"/>
          <w:sz w:val="26"/>
          <w:szCs w:val="26"/>
          <w:lang w:eastAsia="ru-RU"/>
        </w:rPr>
      </w:pPr>
      <w:r w:rsidRPr="002D09B2">
        <w:rPr>
          <w:rFonts w:ascii="Arial" w:eastAsia="Times New Roman" w:hAnsi="Arial" w:cs="Arial"/>
          <w:b/>
          <w:bCs/>
          <w:color w:val="333333"/>
          <w:sz w:val="26"/>
          <w:szCs w:val="26"/>
          <w:lang w:eastAsia="ru-RU"/>
        </w:rPr>
        <w:t>Правила сдачи анализов в гинекологии, урологии</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В урологии, гинекологии для точности результатов, очень важно правильно подготовиться к сдаче анализов и правильно сдать их. Соблюдение элементарных норм гарантирует вам точность результата.</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Перед тем как сдавать анализы (это могут быть </w:t>
      </w:r>
      <w:hyperlink r:id="rId5" w:tooltip="мазки" w:history="1">
        <w:r w:rsidRPr="002D09B2">
          <w:rPr>
            <w:rFonts w:ascii="Arial" w:eastAsia="Times New Roman" w:hAnsi="Arial" w:cs="Arial"/>
            <w:b/>
            <w:bCs/>
            <w:color w:val="3478D4"/>
            <w:sz w:val="27"/>
            <w:szCs w:val="27"/>
            <w:u w:val="single"/>
            <w:lang w:eastAsia="ru-RU"/>
          </w:rPr>
          <w:t>мазки</w:t>
        </w:r>
      </w:hyperlink>
      <w:r w:rsidRPr="002D09B2">
        <w:rPr>
          <w:rFonts w:ascii="Arial" w:eastAsia="Times New Roman" w:hAnsi="Arial" w:cs="Arial"/>
          <w:color w:val="444444"/>
          <w:sz w:val="27"/>
          <w:szCs w:val="27"/>
          <w:lang w:eastAsia="ru-RU"/>
        </w:rPr>
        <w:t>, </w:t>
      </w:r>
      <w:hyperlink r:id="rId6" w:tooltip="посевы" w:history="1">
        <w:r w:rsidRPr="002D09B2">
          <w:rPr>
            <w:rFonts w:ascii="Arial" w:eastAsia="Times New Roman" w:hAnsi="Arial" w:cs="Arial"/>
            <w:b/>
            <w:bCs/>
            <w:color w:val="3478D4"/>
            <w:sz w:val="27"/>
            <w:szCs w:val="27"/>
            <w:u w:val="single"/>
            <w:lang w:eastAsia="ru-RU"/>
          </w:rPr>
          <w:t>посевы</w:t>
        </w:r>
      </w:hyperlink>
      <w:r w:rsidRPr="002D09B2">
        <w:rPr>
          <w:rFonts w:ascii="Arial" w:eastAsia="Times New Roman" w:hAnsi="Arial" w:cs="Arial"/>
          <w:color w:val="444444"/>
          <w:sz w:val="27"/>
          <w:szCs w:val="27"/>
          <w:lang w:eastAsia="ru-RU"/>
        </w:rPr>
        <w:t>, а также </w:t>
      </w:r>
      <w:hyperlink r:id="rId7" w:tooltip="моча" w:history="1">
        <w:r w:rsidRPr="002D09B2">
          <w:rPr>
            <w:rFonts w:ascii="Arial" w:eastAsia="Times New Roman" w:hAnsi="Arial" w:cs="Arial"/>
            <w:b/>
            <w:bCs/>
            <w:color w:val="3478D4"/>
            <w:sz w:val="27"/>
            <w:szCs w:val="27"/>
            <w:u w:val="single"/>
            <w:lang w:eastAsia="ru-RU"/>
          </w:rPr>
          <w:t>моча</w:t>
        </w:r>
      </w:hyperlink>
      <w:r w:rsidRPr="002D09B2">
        <w:rPr>
          <w:rFonts w:ascii="Arial" w:eastAsia="Times New Roman" w:hAnsi="Arial" w:cs="Arial"/>
          <w:color w:val="444444"/>
          <w:sz w:val="27"/>
          <w:szCs w:val="27"/>
          <w:lang w:eastAsia="ru-RU"/>
        </w:rPr>
        <w:t>) вам необходимо выяснить, через какое время материал будет доставлен в лабораторию. Если анализы будут храниться более 2-3 часов, то результаты могут быть не достоверными. А также необходимо выяснить, когда будут готовы результаты. Посевы, обычно, выполняются около пяти дней. Если результаты будут готовы раньше, то не обязательно, что они будут качественными. если используют полимеразную цепную реакцию (ПЦР), то результатов придется ждать 3-4 дня.</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b/>
          <w:bCs/>
          <w:color w:val="444444"/>
          <w:sz w:val="27"/>
          <w:szCs w:val="27"/>
          <w:lang w:eastAsia="ru-RU"/>
        </w:rPr>
        <w:t>Правила подготовки к сдаче анализов для женщин</w:t>
      </w:r>
      <w:r w:rsidRPr="002D09B2">
        <w:rPr>
          <w:rFonts w:ascii="Arial" w:eastAsia="Times New Roman" w:hAnsi="Arial" w:cs="Arial"/>
          <w:color w:val="444444"/>
          <w:sz w:val="27"/>
          <w:szCs w:val="27"/>
          <w:lang w:eastAsia="ru-RU"/>
        </w:rPr>
        <w:t>:</w:t>
      </w:r>
    </w:p>
    <w:p w:rsidR="002D09B2" w:rsidRPr="002D09B2" w:rsidRDefault="002D09B2" w:rsidP="002D09B2">
      <w:pPr>
        <w:numPr>
          <w:ilvl w:val="0"/>
          <w:numId w:val="1"/>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мочиться в течение трех часов до сдачи анализа (</w:t>
      </w:r>
      <w:hyperlink r:id="rId8" w:tooltip="посев" w:history="1">
        <w:r w:rsidRPr="002D09B2">
          <w:rPr>
            <w:rFonts w:ascii="Arial" w:eastAsia="Times New Roman" w:hAnsi="Arial" w:cs="Arial"/>
            <w:b/>
            <w:bCs/>
            <w:color w:val="3478D4"/>
            <w:sz w:val="24"/>
            <w:szCs w:val="24"/>
            <w:u w:val="single"/>
            <w:lang w:eastAsia="ru-RU"/>
          </w:rPr>
          <w:t>посев</w:t>
        </w:r>
      </w:hyperlink>
      <w:r w:rsidRPr="002D09B2">
        <w:rPr>
          <w:rFonts w:ascii="Arial" w:eastAsia="Times New Roman" w:hAnsi="Arial" w:cs="Arial"/>
          <w:color w:val="444444"/>
          <w:sz w:val="24"/>
          <w:szCs w:val="24"/>
          <w:lang w:eastAsia="ru-RU"/>
        </w:rPr>
        <w:t>, </w:t>
      </w:r>
      <w:hyperlink r:id="rId9" w:tooltip="мазок" w:history="1">
        <w:r w:rsidRPr="002D09B2">
          <w:rPr>
            <w:rFonts w:ascii="Arial" w:eastAsia="Times New Roman" w:hAnsi="Arial" w:cs="Arial"/>
            <w:b/>
            <w:bCs/>
            <w:color w:val="3478D4"/>
            <w:sz w:val="24"/>
            <w:szCs w:val="24"/>
            <w:u w:val="single"/>
            <w:lang w:eastAsia="ru-RU"/>
          </w:rPr>
          <w:t>мазок</w:t>
        </w:r>
      </w:hyperlink>
      <w:r w:rsidRPr="002D09B2">
        <w:rPr>
          <w:rFonts w:ascii="Arial" w:eastAsia="Times New Roman" w:hAnsi="Arial" w:cs="Arial"/>
          <w:color w:val="444444"/>
          <w:sz w:val="24"/>
          <w:szCs w:val="24"/>
          <w:lang w:eastAsia="ru-RU"/>
        </w:rPr>
        <w:t>, ПЦР)</w:t>
      </w:r>
    </w:p>
    <w:p w:rsidR="002D09B2" w:rsidRPr="002D09B2" w:rsidRDefault="002D09B2" w:rsidP="002D09B2">
      <w:pPr>
        <w:numPr>
          <w:ilvl w:val="0"/>
          <w:numId w:val="1"/>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 рекомендуется вступать в половой контакт за 36 часов, тем более с использованием противозачаточных свечей (например, «Фарматекс»), которые могут исказить результат, так как обладают антибактериальным действием</w:t>
      </w:r>
    </w:p>
    <w:p w:rsidR="002D09B2" w:rsidRPr="002D09B2" w:rsidRDefault="002D09B2" w:rsidP="002D09B2">
      <w:pPr>
        <w:numPr>
          <w:ilvl w:val="0"/>
          <w:numId w:val="1"/>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накануне нельзя подмываться антибактериальным мыло, а также спринцеваться</w:t>
      </w:r>
    </w:p>
    <w:p w:rsidR="002D09B2" w:rsidRPr="002D09B2" w:rsidRDefault="002D09B2" w:rsidP="002D09B2">
      <w:pPr>
        <w:numPr>
          <w:ilvl w:val="0"/>
          <w:numId w:val="1"/>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применять антибиотики внутрь</w:t>
      </w:r>
    </w:p>
    <w:p w:rsidR="002D09B2" w:rsidRPr="002D09B2" w:rsidRDefault="002D09B2" w:rsidP="002D09B2">
      <w:pPr>
        <w:numPr>
          <w:ilvl w:val="0"/>
          <w:numId w:val="1"/>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сдавать анализы во время менструации.</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b/>
          <w:bCs/>
          <w:color w:val="444444"/>
          <w:sz w:val="27"/>
          <w:szCs w:val="27"/>
          <w:lang w:eastAsia="ru-RU"/>
        </w:rPr>
        <w:t>Правила подготовки к сдаче анализов для мужчин:</w:t>
      </w:r>
    </w:p>
    <w:p w:rsidR="002D09B2" w:rsidRPr="002D09B2" w:rsidRDefault="002D09B2" w:rsidP="002D09B2">
      <w:pPr>
        <w:numPr>
          <w:ilvl w:val="0"/>
          <w:numId w:val="2"/>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ходить в туалет за три часа до сдачи анализа (</w:t>
      </w:r>
      <w:hyperlink r:id="rId10" w:tooltip="посев" w:history="1">
        <w:r w:rsidRPr="002D09B2">
          <w:rPr>
            <w:rFonts w:ascii="Arial" w:eastAsia="Times New Roman" w:hAnsi="Arial" w:cs="Arial"/>
            <w:b/>
            <w:bCs/>
            <w:color w:val="3478D4"/>
            <w:sz w:val="24"/>
            <w:szCs w:val="24"/>
            <w:u w:val="single"/>
            <w:lang w:eastAsia="ru-RU"/>
          </w:rPr>
          <w:t>посев</w:t>
        </w:r>
      </w:hyperlink>
      <w:r w:rsidRPr="002D09B2">
        <w:rPr>
          <w:rFonts w:ascii="Arial" w:eastAsia="Times New Roman" w:hAnsi="Arial" w:cs="Arial"/>
          <w:color w:val="444444"/>
          <w:sz w:val="24"/>
          <w:szCs w:val="24"/>
          <w:lang w:eastAsia="ru-RU"/>
        </w:rPr>
        <w:t>, </w:t>
      </w:r>
      <w:hyperlink r:id="rId11" w:tooltip="мазок" w:history="1">
        <w:r w:rsidRPr="002D09B2">
          <w:rPr>
            <w:rFonts w:ascii="Arial" w:eastAsia="Times New Roman" w:hAnsi="Arial" w:cs="Arial"/>
            <w:b/>
            <w:bCs/>
            <w:color w:val="3478D4"/>
            <w:sz w:val="24"/>
            <w:szCs w:val="24"/>
            <w:u w:val="single"/>
            <w:lang w:eastAsia="ru-RU"/>
          </w:rPr>
          <w:t>мазок</w:t>
        </w:r>
      </w:hyperlink>
      <w:r w:rsidRPr="002D09B2">
        <w:rPr>
          <w:rFonts w:ascii="Arial" w:eastAsia="Times New Roman" w:hAnsi="Arial" w:cs="Arial"/>
          <w:color w:val="444444"/>
          <w:sz w:val="24"/>
          <w:szCs w:val="24"/>
          <w:lang w:eastAsia="ru-RU"/>
        </w:rPr>
        <w:t>, ПЦР)</w:t>
      </w:r>
    </w:p>
    <w:p w:rsidR="002D09B2" w:rsidRPr="002D09B2" w:rsidRDefault="002D09B2" w:rsidP="002D09B2">
      <w:pPr>
        <w:numPr>
          <w:ilvl w:val="0"/>
          <w:numId w:val="2"/>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применять мыло с антибактериальным действием</w:t>
      </w:r>
    </w:p>
    <w:p w:rsidR="002D09B2" w:rsidRPr="002D09B2" w:rsidRDefault="002D09B2" w:rsidP="002D09B2">
      <w:pPr>
        <w:numPr>
          <w:ilvl w:val="0"/>
          <w:numId w:val="2"/>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нельзя применять внутрь уросептики, антибиотики</w:t>
      </w:r>
    </w:p>
    <w:p w:rsidR="002D09B2" w:rsidRPr="002D09B2" w:rsidRDefault="002D09B2" w:rsidP="002D09B2">
      <w:pPr>
        <w:numPr>
          <w:ilvl w:val="0"/>
          <w:numId w:val="2"/>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применять наружно растворы, обладающие дезинфицирующими действием</w:t>
      </w:r>
    </w:p>
    <w:p w:rsidR="002D09B2" w:rsidRPr="002D09B2" w:rsidRDefault="002D09B2" w:rsidP="002D09B2">
      <w:pPr>
        <w:numPr>
          <w:ilvl w:val="0"/>
          <w:numId w:val="2"/>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а также не рекомендуется вступать в половой контакт за 36 часов до сдачи анализов.</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lastRenderedPageBreak/>
        <w:t>При сдаче анализа мочи тоже необходимо соблюдать некоторые правила. Порция мочи должна быть обязательно утренней. До ее сбора необходимо провести туалет наружных половых органов. Первую и последние порции рекомендуется не собирать в контейнер. В качестве контейнера для сбора мочи можно использовать стеклянную баночку с крышкой. она должна быть чистой и сухой.</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b/>
          <w:bCs/>
          <w:color w:val="444444"/>
          <w:sz w:val="27"/>
          <w:szCs w:val="27"/>
          <w:lang w:eastAsia="ru-RU"/>
        </w:rPr>
        <w:t>Перед сбором мочи нельзя:</w:t>
      </w:r>
    </w:p>
    <w:p w:rsidR="002D09B2" w:rsidRPr="002D09B2" w:rsidRDefault="002D09B2" w:rsidP="002D09B2">
      <w:pPr>
        <w:numPr>
          <w:ilvl w:val="0"/>
          <w:numId w:val="3"/>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употреблять очень много или мало жидкости, есть очень соленую или острую пищу (то есть необходимо соблюдать привычный для вас рацион)</w:t>
      </w:r>
    </w:p>
    <w:p w:rsidR="002D09B2" w:rsidRPr="002D09B2" w:rsidRDefault="002D09B2" w:rsidP="002D09B2">
      <w:pPr>
        <w:numPr>
          <w:ilvl w:val="0"/>
          <w:numId w:val="3"/>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применять внутрь антибиотики</w:t>
      </w:r>
    </w:p>
    <w:p w:rsidR="002D09B2" w:rsidRPr="002D09B2" w:rsidRDefault="002D09B2" w:rsidP="002D09B2">
      <w:pPr>
        <w:numPr>
          <w:ilvl w:val="0"/>
          <w:numId w:val="3"/>
        </w:numPr>
        <w:shd w:val="clear" w:color="auto" w:fill="FFFFFF"/>
        <w:spacing w:before="100" w:beforeAutospacing="1" w:after="100" w:afterAutospacing="1" w:line="240" w:lineRule="auto"/>
        <w:ind w:left="525"/>
        <w:rPr>
          <w:rFonts w:ascii="Arial" w:eastAsia="Times New Roman" w:hAnsi="Arial" w:cs="Arial"/>
          <w:color w:val="444444"/>
          <w:sz w:val="24"/>
          <w:szCs w:val="24"/>
          <w:lang w:eastAsia="ru-RU"/>
        </w:rPr>
      </w:pPr>
      <w:r w:rsidRPr="002D09B2">
        <w:rPr>
          <w:rFonts w:ascii="Arial" w:eastAsia="Times New Roman" w:hAnsi="Arial" w:cs="Arial"/>
          <w:color w:val="444444"/>
          <w:sz w:val="24"/>
          <w:szCs w:val="24"/>
          <w:lang w:eastAsia="ru-RU"/>
        </w:rPr>
        <w:t>женщинам сдавать мочу во время менструации.</w:t>
      </w:r>
    </w:p>
    <w:p w:rsidR="002D09B2" w:rsidRPr="002D09B2" w:rsidRDefault="002D09B2" w:rsidP="002D09B2">
      <w:pPr>
        <w:shd w:val="clear" w:color="auto" w:fill="FFFFFF"/>
        <w:spacing w:before="100" w:beforeAutospacing="1" w:after="300" w:line="360" w:lineRule="atLeast"/>
        <w:rPr>
          <w:rFonts w:ascii="Arial" w:eastAsia="Times New Roman" w:hAnsi="Arial" w:cs="Arial"/>
          <w:color w:val="444444"/>
          <w:sz w:val="27"/>
          <w:szCs w:val="27"/>
          <w:lang w:eastAsia="ru-RU"/>
        </w:rPr>
      </w:pPr>
      <w:r w:rsidRPr="002D09B2">
        <w:rPr>
          <w:rFonts w:ascii="Arial" w:eastAsia="Times New Roman" w:hAnsi="Arial" w:cs="Arial"/>
          <w:color w:val="444444"/>
          <w:sz w:val="27"/>
          <w:szCs w:val="27"/>
          <w:lang w:eastAsia="ru-RU"/>
        </w:rPr>
        <w:t> </w:t>
      </w:r>
    </w:p>
    <w:p w:rsidR="00697AD8" w:rsidRDefault="00697AD8">
      <w:bookmarkStart w:id="0" w:name="_GoBack"/>
      <w:bookmarkEnd w:id="0"/>
    </w:p>
    <w:sectPr w:rsidR="0069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901"/>
    <w:multiLevelType w:val="multilevel"/>
    <w:tmpl w:val="35E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A40D29"/>
    <w:multiLevelType w:val="multilevel"/>
    <w:tmpl w:val="1258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7A430B"/>
    <w:multiLevelType w:val="multilevel"/>
    <w:tmpl w:val="848C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5B"/>
    <w:rsid w:val="002D09B2"/>
    <w:rsid w:val="00554E5B"/>
    <w:rsid w:val="0069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4FF8-1196-4285-9158-C7854880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D09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D09B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D09B2"/>
    <w:rPr>
      <w:color w:val="0000FF"/>
      <w:u w:val="single"/>
    </w:rPr>
  </w:style>
  <w:style w:type="paragraph" w:styleId="a4">
    <w:name w:val="Normal (Web)"/>
    <w:basedOn w:val="a"/>
    <w:uiPriority w:val="99"/>
    <w:semiHidden/>
    <w:unhideWhenUsed/>
    <w:rsid w:val="002D09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nalis.ru/posev.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analis.ru/mocha.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analis.ru/posev.php" TargetMode="External"/><Relationship Id="rId11" Type="http://schemas.openxmlformats.org/officeDocument/2006/relationships/hyperlink" Target="http://www.med-analis.ru/mazok.php" TargetMode="External"/><Relationship Id="rId5" Type="http://schemas.openxmlformats.org/officeDocument/2006/relationships/hyperlink" Target="http://www.med-analis.ru/mazok.php" TargetMode="External"/><Relationship Id="rId10" Type="http://schemas.openxmlformats.org/officeDocument/2006/relationships/hyperlink" Target="http://www.med-analis.ru/posev.php" TargetMode="External"/><Relationship Id="rId4" Type="http://schemas.openxmlformats.org/officeDocument/2006/relationships/webSettings" Target="webSettings.xml"/><Relationship Id="rId9" Type="http://schemas.openxmlformats.org/officeDocument/2006/relationships/hyperlink" Target="http://www.med-analis.ru/mazok.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Company>SPecialiST RePack</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2019-10-28T17:00:00Z</dcterms:created>
  <dcterms:modified xsi:type="dcterms:W3CDTF">2019-10-28T17:00:00Z</dcterms:modified>
</cp:coreProperties>
</file>