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C2" w:rsidRPr="00950CC2" w:rsidRDefault="00950CC2" w:rsidP="00950CC2">
      <w:pPr>
        <w:spacing w:after="240" w:line="450" w:lineRule="atLeast"/>
        <w:outlineLvl w:val="1"/>
        <w:rPr>
          <w:rFonts w:ascii="Arial" w:eastAsia="Times New Roman" w:hAnsi="Arial" w:cs="Arial"/>
          <w:b/>
          <w:bCs/>
          <w:color w:val="4C4C4C"/>
          <w:sz w:val="35"/>
          <w:szCs w:val="35"/>
          <w:lang w:eastAsia="ru-RU"/>
        </w:rPr>
      </w:pPr>
      <w:r w:rsidRPr="00950CC2">
        <w:rPr>
          <w:rFonts w:ascii="Arial" w:eastAsia="Times New Roman" w:hAnsi="Arial" w:cs="Arial"/>
          <w:b/>
          <w:bCs/>
          <w:color w:val="4C4C4C"/>
          <w:sz w:val="35"/>
          <w:szCs w:val="35"/>
          <w:lang w:eastAsia="ru-RU"/>
        </w:rPr>
        <w:t>О правилах и сроках госпитализации</w:t>
      </w:r>
    </w:p>
    <w:p w:rsidR="00950CC2" w:rsidRPr="00950CC2" w:rsidRDefault="00950CC2" w:rsidP="00950CC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50CC2">
        <w:rPr>
          <w:rFonts w:ascii="Arial" w:eastAsia="Times New Roman" w:hAnsi="Arial" w:cs="Arial"/>
          <w:b/>
          <w:bCs/>
          <w:color w:val="4C4C4C"/>
          <w:sz w:val="23"/>
          <w:lang w:eastAsia="ru-RU"/>
        </w:rPr>
        <w:t>Дети до 15 лет принимаются на реабилитацию только с родителями</w:t>
      </w:r>
    </w:p>
    <w:p w:rsidR="00950CC2" w:rsidRPr="00950CC2" w:rsidRDefault="00950CC2" w:rsidP="00950CC2">
      <w:pPr>
        <w:spacing w:before="240" w:after="240" w:line="390" w:lineRule="atLeast"/>
        <w:outlineLvl w:val="2"/>
        <w:rPr>
          <w:rFonts w:ascii="Arial" w:eastAsia="Times New Roman" w:hAnsi="Arial" w:cs="Arial"/>
          <w:b/>
          <w:bCs/>
          <w:color w:val="4C4C4C"/>
          <w:sz w:val="30"/>
          <w:szCs w:val="30"/>
          <w:lang w:eastAsia="ru-RU"/>
        </w:rPr>
      </w:pPr>
      <w:r w:rsidRPr="00950CC2">
        <w:rPr>
          <w:rFonts w:ascii="Arial" w:eastAsia="Times New Roman" w:hAnsi="Arial" w:cs="Arial"/>
          <w:b/>
          <w:bCs/>
          <w:color w:val="4C4C4C"/>
          <w:sz w:val="30"/>
          <w:szCs w:val="30"/>
          <w:lang w:eastAsia="ru-RU"/>
        </w:rPr>
        <w:t>При себе иметь:</w:t>
      </w:r>
    </w:p>
    <w:p w:rsidR="00950CC2" w:rsidRPr="00950CC2" w:rsidRDefault="00950CC2" w:rsidP="00950C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50CC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Путевку</w:t>
      </w:r>
    </w:p>
    <w:p w:rsidR="00950CC2" w:rsidRPr="00950CC2" w:rsidRDefault="00950CC2" w:rsidP="00950C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50CC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Направление на лечение от врача (</w:t>
      </w:r>
      <w:hyperlink r:id="rId5" w:history="1">
        <w:r w:rsidRPr="00950CC2">
          <w:rPr>
            <w:rFonts w:ascii="Arial" w:eastAsia="Times New Roman" w:hAnsi="Arial" w:cs="Arial"/>
            <w:color w:val="108498"/>
            <w:sz w:val="23"/>
            <w:lang w:eastAsia="ru-RU"/>
          </w:rPr>
          <w:t>инструкция по заполнению</w:t>
        </w:r>
      </w:hyperlink>
      <w:r w:rsidRPr="00950CC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)</w:t>
      </w:r>
    </w:p>
    <w:p w:rsidR="00950CC2" w:rsidRPr="00950CC2" w:rsidRDefault="00950CC2" w:rsidP="00950CC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50CC2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для иногородних</w:t>
      </w:r>
      <w:r w:rsidRPr="00950CC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- направление на консультацию к узким специалистам (невролог, ортопед, офтальмолог, сурдолог) и направление на госпитализацию</w:t>
      </w:r>
    </w:p>
    <w:p w:rsidR="00950CC2" w:rsidRPr="00950CC2" w:rsidRDefault="00950CC2" w:rsidP="00950C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50CC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Справку от педиатра о соматическом статусе </w:t>
      </w:r>
      <w:r w:rsidRPr="00950CC2">
        <w:rPr>
          <w:rFonts w:ascii="Arial" w:eastAsia="Times New Roman" w:hAnsi="Arial" w:cs="Arial"/>
          <w:b/>
          <w:bCs/>
          <w:color w:val="4C4C4C"/>
          <w:sz w:val="23"/>
          <w:lang w:eastAsia="ru-RU"/>
        </w:rPr>
        <w:t>(действительно в теч. 3-х дней до поступления)</w:t>
      </w:r>
    </w:p>
    <w:p w:rsidR="00950CC2" w:rsidRPr="00950CC2" w:rsidRDefault="00950CC2" w:rsidP="00950C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50CC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Справку об эпидемиологическом окружении</w:t>
      </w:r>
      <w:r w:rsidRPr="00950CC2">
        <w:rPr>
          <w:rFonts w:ascii="Arial" w:eastAsia="Times New Roman" w:hAnsi="Arial" w:cs="Arial"/>
          <w:b/>
          <w:bCs/>
          <w:color w:val="4C4C4C"/>
          <w:sz w:val="23"/>
          <w:lang w:eastAsia="ru-RU"/>
        </w:rPr>
        <w:t> (действительно в теч. 3-х дней до поступления)</w:t>
      </w:r>
    </w:p>
    <w:p w:rsidR="00950CC2" w:rsidRPr="00950CC2" w:rsidRDefault="00950CC2" w:rsidP="00950C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50CC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Справку о прививках и р.Манту</w:t>
      </w:r>
    </w:p>
    <w:p w:rsidR="00950CC2" w:rsidRPr="00950CC2" w:rsidRDefault="00950CC2" w:rsidP="00950C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50CC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Анализы ребёнку:</w:t>
      </w:r>
    </w:p>
    <w:p w:rsidR="00950CC2" w:rsidRPr="00950CC2" w:rsidRDefault="00950CC2" w:rsidP="00950CC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50CC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кал на я/глистов, лямблий </w:t>
      </w:r>
      <w:r w:rsidRPr="00950CC2">
        <w:rPr>
          <w:rFonts w:ascii="Arial" w:eastAsia="Times New Roman" w:hAnsi="Arial" w:cs="Arial"/>
          <w:b/>
          <w:bCs/>
          <w:color w:val="4C4C4C"/>
          <w:sz w:val="23"/>
          <w:lang w:eastAsia="ru-RU"/>
        </w:rPr>
        <w:t>(дети от 6 мес., действительно в теч. 2 нед. до поступления)</w:t>
      </w:r>
    </w:p>
    <w:p w:rsidR="00950CC2" w:rsidRPr="00950CC2" w:rsidRDefault="00950CC2" w:rsidP="00950CC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50CC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соскоб на энтеробиоз </w:t>
      </w:r>
      <w:r w:rsidRPr="00950CC2">
        <w:rPr>
          <w:rFonts w:ascii="Arial" w:eastAsia="Times New Roman" w:hAnsi="Arial" w:cs="Arial"/>
          <w:b/>
          <w:bCs/>
          <w:color w:val="4C4C4C"/>
          <w:sz w:val="23"/>
          <w:lang w:eastAsia="ru-RU"/>
        </w:rPr>
        <w:t>(дети от 6 мес., действительно в теч. 2 нед. до поступления)</w:t>
      </w:r>
    </w:p>
    <w:p w:rsidR="00950CC2" w:rsidRPr="00950CC2" w:rsidRDefault="00950CC2" w:rsidP="00950CC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50CC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общий анализ крови </w:t>
      </w:r>
      <w:r w:rsidRPr="00950CC2">
        <w:rPr>
          <w:rFonts w:ascii="Arial" w:eastAsia="Times New Roman" w:hAnsi="Arial" w:cs="Arial"/>
          <w:b/>
          <w:bCs/>
          <w:color w:val="4C4C4C"/>
          <w:sz w:val="23"/>
          <w:lang w:eastAsia="ru-RU"/>
        </w:rPr>
        <w:t>(действительно в теч. 1 мес. до поступления)</w:t>
      </w:r>
    </w:p>
    <w:p w:rsidR="00950CC2" w:rsidRPr="00950CC2" w:rsidRDefault="00950CC2" w:rsidP="00950CC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50CC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общий анализ мочи </w:t>
      </w:r>
      <w:r w:rsidRPr="00950CC2">
        <w:rPr>
          <w:rFonts w:ascii="Arial" w:eastAsia="Times New Roman" w:hAnsi="Arial" w:cs="Arial"/>
          <w:b/>
          <w:bCs/>
          <w:color w:val="4C4C4C"/>
          <w:sz w:val="23"/>
          <w:lang w:eastAsia="ru-RU"/>
        </w:rPr>
        <w:t>(действительно в теч. 1 мес. до поступления)</w:t>
      </w:r>
    </w:p>
    <w:p w:rsidR="00950CC2" w:rsidRPr="00950CC2" w:rsidRDefault="00950CC2" w:rsidP="00950CC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50CC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обследование на кишечные инфекции (</w:t>
      </w:r>
      <w:r w:rsidRPr="00950CC2">
        <w:rPr>
          <w:rFonts w:ascii="Arial" w:eastAsia="Times New Roman" w:hAnsi="Arial" w:cs="Arial"/>
          <w:b/>
          <w:bCs/>
          <w:color w:val="4C4C4C"/>
          <w:sz w:val="23"/>
          <w:lang w:eastAsia="ru-RU"/>
        </w:rPr>
        <w:t>дети до 2 лет, действительно 2 недели</w:t>
      </w:r>
      <w:r w:rsidRPr="00950CC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)</w:t>
      </w:r>
    </w:p>
    <w:p w:rsidR="00950CC2" w:rsidRPr="00950CC2" w:rsidRDefault="00950CC2" w:rsidP="00950C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50CC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Страховой полис ребенка</w:t>
      </w:r>
    </w:p>
    <w:p w:rsidR="00950CC2" w:rsidRPr="00950CC2" w:rsidRDefault="00950CC2" w:rsidP="00950C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50CC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Паспорт</w:t>
      </w:r>
    </w:p>
    <w:p w:rsidR="00950CC2" w:rsidRPr="00950CC2" w:rsidRDefault="00950CC2" w:rsidP="00950C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50CC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Выписку из амбулаторной карты (или амбулаторную карту)</w:t>
      </w:r>
    </w:p>
    <w:p w:rsidR="00950CC2" w:rsidRPr="00950CC2" w:rsidRDefault="00950CC2" w:rsidP="00950C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50CC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Сменную обувь</w:t>
      </w:r>
    </w:p>
    <w:p w:rsidR="00950CC2" w:rsidRPr="00950CC2" w:rsidRDefault="00950CC2" w:rsidP="00950C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50CC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Результат флюорографического обследования детей в возрасте 15 лет и старше.</w:t>
      </w:r>
    </w:p>
    <w:p w:rsidR="00950CC2" w:rsidRPr="00950CC2" w:rsidRDefault="00950CC2" w:rsidP="00950C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50CC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Родителям сопровождающих ребёнка — </w:t>
      </w:r>
      <w:r w:rsidRPr="00950CC2">
        <w:rPr>
          <w:rFonts w:ascii="Arial" w:eastAsia="Times New Roman" w:hAnsi="Arial" w:cs="Arial"/>
          <w:b/>
          <w:bCs/>
          <w:color w:val="4C4C4C"/>
          <w:sz w:val="23"/>
          <w:lang w:eastAsia="ru-RU"/>
        </w:rPr>
        <w:t>флюорография.</w:t>
      </w:r>
    </w:p>
    <w:p w:rsidR="00950CC2" w:rsidRPr="00950CC2" w:rsidRDefault="00950CC2" w:rsidP="00950CC2">
      <w:pPr>
        <w:spacing w:before="240" w:after="240" w:line="390" w:lineRule="atLeast"/>
        <w:outlineLvl w:val="2"/>
        <w:rPr>
          <w:rFonts w:ascii="Arial" w:eastAsia="Times New Roman" w:hAnsi="Arial" w:cs="Arial"/>
          <w:b/>
          <w:bCs/>
          <w:color w:val="4C4C4C"/>
          <w:sz w:val="30"/>
          <w:szCs w:val="30"/>
          <w:lang w:eastAsia="ru-RU"/>
        </w:rPr>
      </w:pPr>
      <w:r w:rsidRPr="00950CC2">
        <w:rPr>
          <w:rFonts w:ascii="Arial" w:eastAsia="Times New Roman" w:hAnsi="Arial" w:cs="Arial"/>
          <w:b/>
          <w:bCs/>
          <w:color w:val="4C4C4C"/>
          <w:sz w:val="30"/>
          <w:szCs w:val="30"/>
          <w:lang w:eastAsia="ru-RU"/>
        </w:rPr>
        <w:t>Показания для направления в Центр:</w:t>
      </w:r>
    </w:p>
    <w:p w:rsidR="00950CC2" w:rsidRPr="00950CC2" w:rsidRDefault="00950CC2" w:rsidP="00950C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50CC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Поражения нервной системы:</w:t>
      </w:r>
    </w:p>
    <w:p w:rsidR="00950CC2" w:rsidRPr="00950CC2" w:rsidRDefault="00950CC2" w:rsidP="00950C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50CC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Последствия поражений нервной системы, в т.ч. с нарушением опорно-двигательных функций с задержкой психомоторного развития и другими физическими дефектами;</w:t>
      </w:r>
    </w:p>
    <w:p w:rsidR="00950CC2" w:rsidRPr="00950CC2" w:rsidRDefault="00950CC2" w:rsidP="00950C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50CC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Детский церебральные параличи, в т.ч. на фоне задержки психического развития или олигофрении в стадии дебильности;</w:t>
      </w:r>
    </w:p>
    <w:p w:rsidR="00950CC2" w:rsidRPr="00950CC2" w:rsidRDefault="00950CC2" w:rsidP="00950C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50CC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Последствия черепно-мозговых травм и заболеваний головного мозга, в т.ч. с нарушением двигательных функций;</w:t>
      </w:r>
    </w:p>
    <w:p w:rsidR="00950CC2" w:rsidRPr="00950CC2" w:rsidRDefault="00950CC2" w:rsidP="00950C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50CC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Последствия нарушения мозгового кровообращения;</w:t>
      </w:r>
    </w:p>
    <w:p w:rsidR="00950CC2" w:rsidRPr="00950CC2" w:rsidRDefault="00950CC2" w:rsidP="00950C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50CC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Заболевания вегетативной нервной системы;</w:t>
      </w:r>
    </w:p>
    <w:p w:rsidR="00950CC2" w:rsidRPr="00950CC2" w:rsidRDefault="00950CC2" w:rsidP="00950C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50CC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Последствия нейроинфекции;</w:t>
      </w:r>
    </w:p>
    <w:p w:rsidR="00950CC2" w:rsidRPr="00950CC2" w:rsidRDefault="00950CC2" w:rsidP="00950C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50CC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Наследственные дегенеративные заболевания нервной системы;</w:t>
      </w:r>
    </w:p>
    <w:p w:rsidR="00950CC2" w:rsidRPr="00950CC2" w:rsidRDefault="00950CC2" w:rsidP="00950C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50CC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Патология органов слуха и речи.</w:t>
      </w:r>
    </w:p>
    <w:p w:rsidR="00950CC2" w:rsidRPr="00950CC2" w:rsidRDefault="00950CC2" w:rsidP="00950CC2">
      <w:pPr>
        <w:spacing w:before="240" w:after="240" w:line="390" w:lineRule="atLeast"/>
        <w:outlineLvl w:val="2"/>
        <w:rPr>
          <w:rFonts w:ascii="Arial" w:eastAsia="Times New Roman" w:hAnsi="Arial" w:cs="Arial"/>
          <w:b/>
          <w:bCs/>
          <w:color w:val="4C4C4C"/>
          <w:sz w:val="30"/>
          <w:szCs w:val="30"/>
          <w:lang w:eastAsia="ru-RU"/>
        </w:rPr>
      </w:pPr>
      <w:r w:rsidRPr="00950CC2">
        <w:rPr>
          <w:rFonts w:ascii="Arial" w:eastAsia="Times New Roman" w:hAnsi="Arial" w:cs="Arial"/>
          <w:b/>
          <w:bCs/>
          <w:color w:val="4C4C4C"/>
          <w:sz w:val="30"/>
          <w:szCs w:val="30"/>
          <w:lang w:eastAsia="ru-RU"/>
        </w:rPr>
        <w:t>Противопоказания для направления в Центр:</w:t>
      </w:r>
    </w:p>
    <w:p w:rsidR="00950CC2" w:rsidRPr="00950CC2" w:rsidRDefault="00950CC2" w:rsidP="00950C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50CC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тяжелые двигательные нарушения, исключающие возможность реабилитации;</w:t>
      </w:r>
    </w:p>
    <w:p w:rsidR="00950CC2" w:rsidRPr="00950CC2" w:rsidRDefault="00950CC2" w:rsidP="00950C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50CC2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>олигофрения в ст. имбицильности, идиотии;</w:t>
      </w:r>
    </w:p>
    <w:p w:rsidR="00950CC2" w:rsidRPr="00950CC2" w:rsidRDefault="00950CC2" w:rsidP="00950C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50CC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эписиндромы с частными приступами;</w:t>
      </w:r>
    </w:p>
    <w:p w:rsidR="00950CC2" w:rsidRPr="00950CC2" w:rsidRDefault="00950CC2" w:rsidP="00950C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50CC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прогредиентные заболевания Ц.Н.С.;</w:t>
      </w:r>
    </w:p>
    <w:p w:rsidR="00950CC2" w:rsidRPr="00950CC2" w:rsidRDefault="00950CC2" w:rsidP="00950C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50CC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острые инфекционные заболевания;</w:t>
      </w:r>
    </w:p>
    <w:p w:rsidR="00950CC2" w:rsidRPr="00950CC2" w:rsidRDefault="00950CC2" w:rsidP="00950C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50CC2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тяжелые соматические заболевания.</w:t>
      </w:r>
    </w:p>
    <w:p w:rsidR="007905B1" w:rsidRDefault="007905B1"/>
    <w:sectPr w:rsidR="007905B1" w:rsidSect="00790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635BA"/>
    <w:multiLevelType w:val="multilevel"/>
    <w:tmpl w:val="9BD01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64A72"/>
    <w:multiLevelType w:val="multilevel"/>
    <w:tmpl w:val="89D40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B04715"/>
    <w:multiLevelType w:val="multilevel"/>
    <w:tmpl w:val="FC944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0CC2"/>
    <w:rsid w:val="007905B1"/>
    <w:rsid w:val="00950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B1"/>
  </w:style>
  <w:style w:type="paragraph" w:styleId="2">
    <w:name w:val="heading 2"/>
    <w:basedOn w:val="a"/>
    <w:link w:val="20"/>
    <w:uiPriority w:val="9"/>
    <w:qFormat/>
    <w:rsid w:val="00950C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50C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0C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0C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50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0CC2"/>
    <w:rPr>
      <w:b/>
      <w:bCs/>
    </w:rPr>
  </w:style>
  <w:style w:type="character" w:styleId="a5">
    <w:name w:val="Hyperlink"/>
    <w:basedOn w:val="a0"/>
    <w:uiPriority w:val="99"/>
    <w:semiHidden/>
    <w:unhideWhenUsed/>
    <w:rsid w:val="00950C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riadnatlt.ru/patients/rules/treatm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1828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2019-09-05T05:30:00Z</dcterms:created>
  <dcterms:modified xsi:type="dcterms:W3CDTF">2019-09-05T05:30:00Z</dcterms:modified>
</cp:coreProperties>
</file>