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забору крови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1. 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Желательно за 1-2 дня до обследования исключить из рациона жирное, жареное и алкоголь. Если накануне состоялось застолье – необходимо перенести лабораторное исследование на 1-2 дня.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2. За час до взятия крови необходимо воздержаться от курения.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3. 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4. 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5. 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6. Кровь не следует сдавать после рентгенографии, ректального исследования или физиотерапевтических процедур.</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сбору мокроты</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Предварительно пациент должен прополоскать рот и глотку кипяченой водой, почистить зубы.</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сбору мочи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Общий анализ мочи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Необходимо собрать первую утреннюю концентрированную порцию мочи, получаемую сразу после сна, натощак, и, при свободном мочеиспускании.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Емкость для сбора мочи должна быть сухой и чистой.</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Перед сбором мочи проводят тщательный туалет наружных половых органов, промыв их под душем с мылом, чтобы в мочу не попали выделения из них.</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Мочу нельзя сдавать во время менструального цикла. Анализ можно проводить через 2 дня после его окончания.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Анализ мочи по Нечипоренко</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После тщательного туалета наружных половых органов необходимо собрать среднюю порцию утренней мочи.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Для этого сначала мочитесь в унитаз, затем в чистую сухую емкость, остатки мочи в унитаз.</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Суточная порция мочи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lastRenderedPageBreak/>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Анализ мочи по Зимницкому</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Первая утренняя порция мочи для исследования не нужна, поэтому пациент мочится в унитаз.</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Затем в течение каждых 3-х часов моча собирается в отдельную чистую сухую емкость.</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u w:val="single"/>
          <w:shd w:val="clear" w:color="auto" w:fill="FFFFFF"/>
        </w:rPr>
        <w:t>Для этого накануне пациент подписывает емкости: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первая порция – 6ч – 9ч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вторая порция – 9ч – 12ч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третья порция – 12ч – 15ч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четвертая порция – 15ч – 18ч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пятая порция – 18ч – 21ч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шестая порция – 21ч – 24ч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седьмая порция – 24ч – 3ч</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 восьмая порция – 3ч – 6ч. </w:t>
      </w:r>
      <w:r>
        <w:rPr>
          <w:rFonts w:ascii="Verdana" w:hAnsi="Verdana"/>
          <w:color w:val="000000"/>
          <w:sz w:val="18"/>
          <w:szCs w:val="18"/>
          <w:u w:val="single"/>
          <w:shd w:val="clear" w:color="auto" w:fill="FFFFFF"/>
        </w:rPr>
        <w:t>это утренняя порция мочи следующего дня.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Все восемь емкостей доставляются в лабораторию, даже те емкости, где не было мочи.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сбору кала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Исследование кала на яйца гельминтов и простейших</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Исследование кала на скрытую кровь</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Исследование нельзя проводить пациентам страдающих диареей (поносом) и женщинам во время менструации.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Рекомендуется принимать пищу, содержащую фрукты, овощи и чёрный хлеб.</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Исследование кала на копрологию</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lastRenderedPageBreak/>
        <w:t>Исследовать кал надо не позднее 8-12 часов после дефекации, а до этого его следует хранить при t 3-5 С. Собирать кал надо в чистую сухую посуду. 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Нельзя направлять на исследование после клизмы, рентгенологического исследования желудка и кишечника (примесь бария).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рентгенографии, рентгеноскопии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Обзорная урография (обзорный снимок почек и мочевыводящих путей), рентгенография поясничного отдела позвоночника и костей таза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b/>
          <w:bCs/>
          <w:color w:val="000000"/>
          <w:sz w:val="18"/>
          <w:szCs w:val="18"/>
          <w:shd w:val="clear" w:color="auto" w:fill="FFFFFF"/>
        </w:rPr>
        <w:t>Рентгеноскопия пищевода и желудка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УЗИ органов брюшной полости (печень, селезёнка, поджелудочная железа, желчный пузырь)</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УЗИ органов брюшной полости необходимо проводить натощак, если исследование невозможно провести утром, допускается легкий завтрак. ВАЖНО!!! Если Вы принимаете лекарственные средства, предупредите об этом врача УЗИ. 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УЗИ почек, мочевого пузыря и мочевыводящих путей</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Если исследуются только почки, подготовка не требуется. 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УЗИ матки и яичников</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lastRenderedPageBreak/>
        <w:t>При трансвагинальном исследовании мочевой пузырь должен быть пуст.</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УЗИ молочных желез</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Исследование молочных желез желательно проводить в первые 7-10 дней менструального цикла (фаза цикла).</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За 2 дня перед обследованием не применять физиопроцедуры, банки, горчичники, лучевую и химиотерапию.</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УЗИ сердца. Эхокардиограмма (ЭхоКГ)</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Данные исследования проводятся без подготовки. Рекомендуется иметь при себе результаты электрокардиограммы (ЭКГ).</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6"/>
          <w:szCs w:val="16"/>
        </w:rPr>
        <w:t> </w:t>
      </w:r>
    </w:p>
    <w:p w:rsidR="00B03AAC" w:rsidRDefault="00B03AAC" w:rsidP="00B03AAC">
      <w:pPr>
        <w:pStyle w:val="a3"/>
        <w:shd w:val="clear" w:color="auto" w:fill="FFFFFF"/>
        <w:spacing w:after="0" w:afterAutospacing="0"/>
        <w:jc w:val="center"/>
        <w:rPr>
          <w:rFonts w:ascii="Verdana" w:hAnsi="Verdana"/>
          <w:color w:val="000000"/>
          <w:sz w:val="16"/>
          <w:szCs w:val="16"/>
        </w:rPr>
      </w:pPr>
      <w:r>
        <w:rPr>
          <w:rFonts w:ascii="Verdana" w:hAnsi="Verdana"/>
          <w:b/>
          <w:bCs/>
          <w:color w:val="000000"/>
          <w:sz w:val="18"/>
          <w:szCs w:val="18"/>
          <w:u w:val="single"/>
          <w:shd w:val="clear" w:color="auto" w:fill="FFFFFF"/>
        </w:rPr>
        <w:t>Правила подготовки пациента к фиброгастродуоденоскопии</w:t>
      </w:r>
    </w:p>
    <w:p w:rsidR="00B03AAC" w:rsidRDefault="00B03AAC" w:rsidP="00B03AAC">
      <w:pPr>
        <w:pStyle w:val="a3"/>
        <w:shd w:val="clear" w:color="auto" w:fill="FFFFFF"/>
        <w:spacing w:after="0" w:afterAutospacing="0"/>
        <w:rPr>
          <w:rFonts w:ascii="Verdana" w:hAnsi="Verdana"/>
          <w:color w:val="000000"/>
          <w:sz w:val="16"/>
          <w:szCs w:val="16"/>
        </w:rPr>
      </w:pPr>
      <w:r>
        <w:rPr>
          <w:rFonts w:ascii="Verdana" w:hAnsi="Verdana"/>
          <w:color w:val="000000"/>
          <w:sz w:val="18"/>
          <w:szCs w:val="18"/>
          <w:shd w:val="clear" w:color="auto" w:fill="FFFFFF"/>
        </w:rPr>
        <w:t>Исследование выполняется строго натощак, как правило, в первой половине дня.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8-9 часов.</w:t>
      </w:r>
    </w:p>
    <w:p w:rsidR="001B0988" w:rsidRDefault="001B0988">
      <w:bookmarkStart w:id="0" w:name="_GoBack"/>
      <w:bookmarkEnd w:id="0"/>
    </w:p>
    <w:sectPr w:rsidR="001B0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40"/>
    <w:rsid w:val="001B0988"/>
    <w:rsid w:val="00B03AAC"/>
    <w:rsid w:val="00F12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DF8B8-F6E2-4B68-8A03-019005A2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A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1302</Words>
  <Characters>7428</Characters>
  <Application>Microsoft Office Word</Application>
  <DocSecurity>0</DocSecurity>
  <Lines>61</Lines>
  <Paragraphs>17</Paragraphs>
  <ScaleCrop>false</ScaleCrop>
  <Company>SPecialiST RePack</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2019-07-25T20:22:00Z</dcterms:created>
  <dcterms:modified xsi:type="dcterms:W3CDTF">2019-07-25T20:23:00Z</dcterms:modified>
</cp:coreProperties>
</file>