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98B2" w14:textId="77777777" w:rsidR="00DD377D" w:rsidRPr="00DD377D" w:rsidRDefault="00DD377D" w:rsidP="00DD377D">
      <w:pPr>
        <w:spacing w:after="195" w:line="525" w:lineRule="atLeast"/>
        <w:outlineLvl w:val="0"/>
        <w:rPr>
          <w:rFonts w:ascii="Ubuntu" w:eastAsia="Times New Roman" w:hAnsi="Ubuntu" w:cs="Times New Roman"/>
          <w:b/>
          <w:bCs/>
          <w:color w:val="877561"/>
          <w:kern w:val="36"/>
          <w:sz w:val="45"/>
          <w:szCs w:val="45"/>
          <w:lang w:eastAsia="ru-RU"/>
        </w:rPr>
      </w:pPr>
      <w:r w:rsidRPr="00DD377D">
        <w:rPr>
          <w:rFonts w:ascii="Ubuntu" w:eastAsia="Times New Roman" w:hAnsi="Ubuntu" w:cs="Times New Roman"/>
          <w:b/>
          <w:bCs/>
          <w:color w:val="877561"/>
          <w:kern w:val="36"/>
          <w:sz w:val="45"/>
          <w:szCs w:val="45"/>
          <w:lang w:eastAsia="ru-RU"/>
        </w:rPr>
        <w:t>Отделение анестезиологии, реанимации и интенсивной терапии новорожденных с палатами реанимации и интенсивной терапии</w:t>
      </w:r>
    </w:p>
    <w:p w14:paraId="0568A242" w14:textId="0AAA9C2E" w:rsidR="00DD377D" w:rsidRPr="00DD377D" w:rsidRDefault="00DD377D" w:rsidP="00DD377D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DD377D">
        <w:rPr>
          <w:rFonts w:ascii="Ubuntu" w:eastAsia="Times New Roman" w:hAnsi="Ubuntu" w:cs="Times New Roman"/>
          <w:noProof/>
          <w:color w:val="FD8505"/>
          <w:sz w:val="23"/>
          <w:szCs w:val="23"/>
          <w:lang w:eastAsia="ru-RU"/>
        </w:rPr>
        <w:drawing>
          <wp:inline distT="0" distB="0" distL="0" distR="0" wp14:anchorId="65457C68" wp14:editId="596173F6">
            <wp:extent cx="2714625" cy="1809750"/>
            <wp:effectExtent l="0" t="0" r="9525" b="0"/>
            <wp:docPr id="1" name="Рисунок 1" descr="Рубин Григорий Витальевич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ин Григорий Витальевич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7D4B" w14:textId="77777777" w:rsidR="00DD377D" w:rsidRPr="00DD377D" w:rsidRDefault="00DD377D" w:rsidP="00DD377D">
      <w:pPr>
        <w:shd w:val="clear" w:color="auto" w:fill="FFFFFF"/>
        <w:spacing w:after="150" w:line="255" w:lineRule="atLeast"/>
        <w:jc w:val="center"/>
        <w:rPr>
          <w:rFonts w:ascii="Ubuntu" w:eastAsia="Times New Roman" w:hAnsi="Ubuntu" w:cs="Times New Roman"/>
          <w:color w:val="978776"/>
          <w:sz w:val="17"/>
          <w:szCs w:val="17"/>
          <w:lang w:eastAsia="ru-RU"/>
        </w:rPr>
      </w:pPr>
      <w:r w:rsidRPr="00DD377D">
        <w:rPr>
          <w:rFonts w:ascii="Ubuntu" w:eastAsia="Times New Roman" w:hAnsi="Ubuntu" w:cs="Times New Roman"/>
          <w:color w:val="978776"/>
          <w:sz w:val="17"/>
          <w:szCs w:val="17"/>
          <w:lang w:eastAsia="ru-RU"/>
        </w:rPr>
        <w:t>Заведующий отделением реанимации и интенсивной терапии для новорожденных детей - Рубин Григорий Витальевич.</w:t>
      </w:r>
    </w:p>
    <w:p w14:paraId="2B446C61" w14:textId="77777777" w:rsidR="00DD377D" w:rsidRPr="00DD377D" w:rsidRDefault="00DD377D" w:rsidP="00DD377D">
      <w:pPr>
        <w:numPr>
          <w:ilvl w:val="0"/>
          <w:numId w:val="1"/>
        </w:numPr>
        <w:shd w:val="clear" w:color="auto" w:fill="FFFFFF"/>
        <w:spacing w:after="0" w:line="540" w:lineRule="atLeast"/>
        <w:ind w:left="0"/>
        <w:textAlignment w:val="top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hyperlink r:id="rId7" w:history="1">
        <w:r w:rsidRPr="00DD377D">
          <w:rPr>
            <w:rFonts w:ascii="Ubuntu" w:eastAsia="Times New Roman" w:hAnsi="Ubuntu" w:cs="Times New Roman"/>
            <w:color w:val="FD8505"/>
            <w:sz w:val="23"/>
            <w:szCs w:val="23"/>
            <w:u w:val="single"/>
            <w:lang w:eastAsia="ru-RU"/>
          </w:rPr>
          <w:t xml:space="preserve">Правила посещения родственниками пациентов в </w:t>
        </w:r>
        <w:proofErr w:type="spellStart"/>
        <w:r w:rsidRPr="00DD377D">
          <w:rPr>
            <w:rFonts w:ascii="Ubuntu" w:eastAsia="Times New Roman" w:hAnsi="Ubuntu" w:cs="Times New Roman"/>
            <w:color w:val="FD8505"/>
            <w:sz w:val="23"/>
            <w:szCs w:val="23"/>
            <w:u w:val="single"/>
            <w:lang w:eastAsia="ru-RU"/>
          </w:rPr>
          <w:t>отделених</w:t>
        </w:r>
        <w:proofErr w:type="spellEnd"/>
        <w:r w:rsidRPr="00DD377D">
          <w:rPr>
            <w:rFonts w:ascii="Ubuntu" w:eastAsia="Times New Roman" w:hAnsi="Ubuntu" w:cs="Times New Roman"/>
            <w:color w:val="FD8505"/>
            <w:sz w:val="23"/>
            <w:szCs w:val="23"/>
            <w:u w:val="single"/>
            <w:lang w:eastAsia="ru-RU"/>
          </w:rPr>
          <w:t xml:space="preserve"> реанимации и интенсивной терапии</w:t>
        </w:r>
      </w:hyperlink>
    </w:p>
    <w:p w14:paraId="7AFE9FAC" w14:textId="77777777" w:rsidR="00DD377D" w:rsidRPr="00DD377D" w:rsidRDefault="00DD377D" w:rsidP="00DD377D">
      <w:pPr>
        <w:numPr>
          <w:ilvl w:val="0"/>
          <w:numId w:val="1"/>
        </w:numPr>
        <w:shd w:val="clear" w:color="auto" w:fill="FFFFFF"/>
        <w:spacing w:after="0" w:line="540" w:lineRule="atLeast"/>
        <w:ind w:left="0"/>
        <w:textAlignment w:val="top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hyperlink r:id="rId8" w:history="1">
        <w:r w:rsidRPr="00DD377D">
          <w:rPr>
            <w:rFonts w:ascii="Ubuntu" w:eastAsia="Times New Roman" w:hAnsi="Ubuntu" w:cs="Times New Roman"/>
            <w:color w:val="FD8505"/>
            <w:sz w:val="23"/>
            <w:szCs w:val="23"/>
            <w:u w:val="single"/>
            <w:lang w:eastAsia="ru-RU"/>
          </w:rPr>
          <w:t>Правила госпитализации и нахождения матерей в отделении</w:t>
        </w:r>
      </w:hyperlink>
    </w:p>
    <w:p w14:paraId="154092E8" w14:textId="77777777" w:rsidR="00DD377D" w:rsidRPr="00DD377D" w:rsidRDefault="00DD377D" w:rsidP="00DD377D">
      <w:pPr>
        <w:numPr>
          <w:ilvl w:val="0"/>
          <w:numId w:val="1"/>
        </w:numPr>
        <w:shd w:val="clear" w:color="auto" w:fill="FFFFFF"/>
        <w:spacing w:after="0" w:line="540" w:lineRule="atLeast"/>
        <w:ind w:left="0"/>
        <w:textAlignment w:val="top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hyperlink r:id="rId9" w:history="1">
        <w:r w:rsidRPr="00DD377D">
          <w:rPr>
            <w:rFonts w:ascii="Ubuntu" w:eastAsia="Times New Roman" w:hAnsi="Ubuntu" w:cs="Times New Roman"/>
            <w:color w:val="FD8505"/>
            <w:sz w:val="23"/>
            <w:szCs w:val="23"/>
            <w:u w:val="single"/>
            <w:lang w:eastAsia="ru-RU"/>
          </w:rPr>
          <w:t>Правила пребывания матерей</w:t>
        </w:r>
      </w:hyperlink>
    </w:p>
    <w:p w14:paraId="695086DA" w14:textId="77777777" w:rsidR="00DD377D" w:rsidRPr="00DD377D" w:rsidRDefault="00DD377D" w:rsidP="00DD377D">
      <w:pPr>
        <w:numPr>
          <w:ilvl w:val="0"/>
          <w:numId w:val="1"/>
        </w:numPr>
        <w:shd w:val="clear" w:color="auto" w:fill="FFFFFF"/>
        <w:spacing w:after="0" w:line="540" w:lineRule="atLeast"/>
        <w:ind w:left="0"/>
        <w:textAlignment w:val="top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hyperlink r:id="rId10" w:history="1">
        <w:r w:rsidRPr="00DD377D">
          <w:rPr>
            <w:rFonts w:ascii="Ubuntu" w:eastAsia="Times New Roman" w:hAnsi="Ubuntu" w:cs="Times New Roman"/>
            <w:color w:val="FD8505"/>
            <w:sz w:val="23"/>
            <w:szCs w:val="23"/>
            <w:u w:val="single"/>
            <w:lang w:eastAsia="ru-RU"/>
          </w:rPr>
          <w:t>Информированное согласие</w:t>
        </w:r>
      </w:hyperlink>
    </w:p>
    <w:p w14:paraId="5152385A" w14:textId="77777777" w:rsidR="00DD377D" w:rsidRPr="00DD377D" w:rsidRDefault="00DD377D" w:rsidP="00DD377D">
      <w:pPr>
        <w:numPr>
          <w:ilvl w:val="0"/>
          <w:numId w:val="1"/>
        </w:numPr>
        <w:shd w:val="clear" w:color="auto" w:fill="FFFFFF"/>
        <w:spacing w:after="0" w:line="540" w:lineRule="atLeast"/>
        <w:ind w:left="0"/>
        <w:textAlignment w:val="top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hyperlink r:id="rId11" w:history="1">
        <w:r w:rsidRPr="00DD377D">
          <w:rPr>
            <w:rFonts w:ascii="Ubuntu" w:eastAsia="Times New Roman" w:hAnsi="Ubuntu" w:cs="Times New Roman"/>
            <w:color w:val="FD8505"/>
            <w:sz w:val="23"/>
            <w:szCs w:val="23"/>
            <w:u w:val="single"/>
            <w:lang w:eastAsia="ru-RU"/>
          </w:rPr>
          <w:t>Фотогалерея</w:t>
        </w:r>
      </w:hyperlink>
    </w:p>
    <w:p w14:paraId="5A48C8C2" w14:textId="77777777" w:rsidR="00DD377D" w:rsidRPr="00DD377D" w:rsidRDefault="00DD377D" w:rsidP="00DD377D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DD377D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Григорий Витальевич</w:t>
      </w:r>
      <w:r w:rsidRPr="00DD377D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 закончил ЛПМИ (Ленинградский педиатрический медицинский институт) в 1995 году. Получил специализацию по анестезиологии и реаниматологии после прохождения клинической ординатуры с 1995 по 1997 гг. на кафедре неотложной педиатрии с курсом ФПК и ПП под руководством Цыбулькина Э.К.</w:t>
      </w:r>
    </w:p>
    <w:p w14:paraId="354AA22E" w14:textId="77777777" w:rsidR="00DD377D" w:rsidRPr="00DD377D" w:rsidRDefault="00DD377D" w:rsidP="00DD377D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proofErr w:type="gramStart"/>
      <w:r w:rsidRPr="00DD377D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С  1997</w:t>
      </w:r>
      <w:proofErr w:type="gramEnd"/>
      <w:r w:rsidRPr="00DD377D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 xml:space="preserve"> г. по настоящее время является штатным сотрудником ДГБ№17, работая врачом анестезиологом реаниматологом в отделении реанимации и интенсивной терапии новорожденных, в том числе недоношенных детей. С 2005 года старший ординатор. С 2013 года заведующий данного отделения. В мае 2009 года решением аттестационной комиссии при комитете по здравоохранению мэрии Санкт-Петербурга ему присвоена высшая квалификационная категория по специальности “Анестезиология и реаниматология”. В феврале 2013 года прошел очередное повышение квалификации на сертификационном цикле «анестезиология-реаниматология» кафедры «анестезиологии-реаниматологии и неотложной педиатрии ФПК и ПП» </w:t>
      </w:r>
      <w:proofErr w:type="spellStart"/>
      <w:r w:rsidRPr="00DD377D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СПбГПМА</w:t>
      </w:r>
      <w:proofErr w:type="spellEnd"/>
      <w:r w:rsidRPr="00DD377D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 xml:space="preserve"> и подтвердил сертификат специалиста. Является автором 3 печатных работ в медицинских журналах и сборниках. Занимается подготовкой молодых специалистов – клинических ординаторов и интернов, проходящих обучение на базе отделения реанимации и интенсивной терапии ДГБ 17. В 2014 году Григорию Витальевичу присуждена премия Правительства Санкт-Петербурга «</w:t>
      </w:r>
      <w:r w:rsidRPr="00DD377D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Лучший врач года</w:t>
      </w:r>
      <w:r w:rsidRPr="00DD377D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» в номинации: «Лучший врач хирургического профиля учреждения детской стационарной помощи».</w:t>
      </w:r>
    </w:p>
    <w:p w14:paraId="0B3C812D" w14:textId="77777777" w:rsidR="00DD377D" w:rsidRPr="00DD377D" w:rsidRDefault="00DD377D" w:rsidP="00DD377D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DD377D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lastRenderedPageBreak/>
        <w:t>Отделение реанимации и интенсивной терапии было открыто в январе 1991 года на базе открытого после ремонта корпуса ДГБ№16. Было развернуто 6 коек для оказания помощи новорожденным детям с соматической патологией в составе детской городской больницы №17 развернутой на 375 коек в корпусах по адресам: </w:t>
      </w:r>
      <w:r w:rsidRPr="00DD377D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ул. Глинки д. 4, ул. Декабристов д. 40-42.</w:t>
      </w:r>
    </w:p>
    <w:p w14:paraId="2B34533F" w14:textId="77777777" w:rsidR="00DD377D" w:rsidRPr="00DD377D" w:rsidRDefault="00DD377D" w:rsidP="00DD377D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DD377D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Заведовал отделением Андрей Павлович Кучеров. Свою практическую деятельность он совмещал с работой ассистента кафедры «неотложной педиатрии ФУВ СПб ГПМА». Руководитель кафедры профессор Эдуард Кузьмич Цыбулькин принимал самое активное участие в становлении работы нового отделения – обучал врачей, консультировал больных, руководил научной деятельностью. С тех пор работа отделения неразрывно связана с прикладной научной деятельностью. На базе отделения проходят обучение неонатологи и реаниматологи из разных регионов России, как в рамках проведения циклов повышения квалификации, так и на рабочем месте. Работа ОРИТ близка к режиму операционного отделения. Больница является базой 2-го медицинского колледжа; базой кафедры неонатологии  и перинатологии  педиатрической академии; базой ВМА; базой кафедры офтальмологии и невропатологии; базой МАПО кафедры педиатрии №2. Приоритетом отделения является оказание помощи детям с низкой и экстремально низкой массой тела при рождении (до 90% от всех поступивших). Через отделение реанимации в среднем проходит в среднем около 350 пациентов в год. В настоящее время в отделении реанимации и интенсивной терапии работает 25 врачей: -18 реаниматологов и 7 неонатологов, включая 4 врачей, работающих на суточном посту интенсивной терапии. 60 мед. сестер и 7 санитарок.</w:t>
      </w:r>
    </w:p>
    <w:p w14:paraId="116A5EB2" w14:textId="77777777" w:rsidR="00DD377D" w:rsidRPr="00DD377D" w:rsidRDefault="00DD377D" w:rsidP="00DD377D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DD377D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 xml:space="preserve">В сентябре 2012 г. больница </w:t>
      </w:r>
      <w:proofErr w:type="gramStart"/>
      <w:r w:rsidRPr="00DD377D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переехала  в</w:t>
      </w:r>
      <w:proofErr w:type="gramEnd"/>
      <w:r w:rsidRPr="00DD377D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 xml:space="preserve"> здание после реконструкции на Декабристов, дом 40. С тех пор отделение реанимации и интенсивной терапии находится на 3 этаже нового здания.</w:t>
      </w:r>
    </w:p>
    <w:p w14:paraId="38BF9F17" w14:textId="77777777" w:rsidR="00DD377D" w:rsidRPr="00DD377D" w:rsidRDefault="00DD377D" w:rsidP="00DD377D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DD377D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Отделение реанимации и интенсивной терапии новорожденных рассчитано на 24 койки.</w:t>
      </w:r>
    </w:p>
    <w:p w14:paraId="5FDD490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59E"/>
    <w:multiLevelType w:val="multilevel"/>
    <w:tmpl w:val="0EBA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D5"/>
    <w:rsid w:val="004617D5"/>
    <w:rsid w:val="007914E2"/>
    <w:rsid w:val="00D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D846-CE61-4684-BFE9-C9275D0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377D"/>
    <w:rPr>
      <w:color w:val="0000FF"/>
      <w:u w:val="single"/>
    </w:rPr>
  </w:style>
  <w:style w:type="paragraph" w:customStyle="1" w:styleId="wp-caption-text">
    <w:name w:val="wp-caption-text"/>
    <w:basedOn w:val="a"/>
    <w:rsid w:val="00DD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D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1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4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895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3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862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93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0339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8" w:color="E9E0D7"/>
                                <w:left w:val="single" w:sz="12" w:space="20" w:color="E9E0D7"/>
                                <w:bottom w:val="single" w:sz="12" w:space="23" w:color="E9E0D7"/>
                                <w:right w:val="single" w:sz="12" w:space="20" w:color="E9E0D7"/>
                              </w:divBdr>
                            </w:div>
                          </w:divsChild>
                        </w:div>
                        <w:div w:id="4516293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b17spb.ru/oformlenie-materej-v-otdelenie-reanimac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gb17spb.ru/pravila-poseshheniya-rodstvennikami-pacientov-v-otdeleniyax-reanimacii-i-intensivnoj-terap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gb17spb.ru/fotogalereya/" TargetMode="External"/><Relationship Id="rId5" Type="http://schemas.openxmlformats.org/officeDocument/2006/relationships/hyperlink" Target="http://dgb17spb.ru/wp-content/uploads/2015/11/IMGi0483.jpg" TargetMode="External"/><Relationship Id="rId10" Type="http://schemas.openxmlformats.org/officeDocument/2006/relationships/hyperlink" Target="http://dgb17spb.ru/informirovannoe-soglas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b17spb.ru/pravila-prebyvaniya-mater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2019-08-14T07:00:00Z</dcterms:created>
  <dcterms:modified xsi:type="dcterms:W3CDTF">2019-08-14T07:00:00Z</dcterms:modified>
</cp:coreProperties>
</file>