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F4" w:rsidRPr="00BA6FF4" w:rsidRDefault="00BA6FF4" w:rsidP="00BA6FF4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ПРЕДОСТАВЛЕНИЕ ПЛАТНЫХ МЕДИЦИНСКИХ УСЛУГ</w:t>
      </w:r>
    </w:p>
    <w:p w:rsidR="00BA6FF4" w:rsidRPr="00BA6FF4" w:rsidRDefault="00BA6FF4" w:rsidP="00BA6FF4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Постановление правительства Российской Федерации от 4 октября2012 г. N 1006</w:t>
      </w:r>
    </w:p>
    <w:p w:rsidR="00BA6FF4" w:rsidRPr="00BA6FF4" w:rsidRDefault="00BA6FF4" w:rsidP="00BA6FF4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«Об утверждении правил предоставления медицинскими организациями платных медицинских услуг»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Настоящее постановление вступает в силу с 1 января2013 г.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«Платные медицинские услуги» —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— соответственно программа, территориальная программа).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BA6FF4" w:rsidRPr="00BA6FF4" w:rsidRDefault="00BA6FF4" w:rsidP="00BA6FF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BA6FF4" w:rsidRPr="00BA6FF4" w:rsidRDefault="00BA6FF4" w:rsidP="00BA6FF4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BA6FF4" w:rsidRPr="00BA6FF4" w:rsidRDefault="00BA6FF4" w:rsidP="00BA6FF4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BA6FF4" w:rsidRPr="00BA6FF4" w:rsidRDefault="00BA6FF4" w:rsidP="00BA6FF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BA6FF4" w:rsidRPr="00BA6FF4" w:rsidRDefault="00BA6FF4" w:rsidP="00BA6FF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BA6FF4" w:rsidRPr="00BA6FF4" w:rsidRDefault="00BA6FF4" w:rsidP="00BA6FF4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BA6FF4" w:rsidRPr="00BA6FF4" w:rsidRDefault="00BA6FF4" w:rsidP="00BA6FF4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lastRenderedPageBreak/>
        <w:t>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BA6FF4" w:rsidRPr="00BA6FF4" w:rsidRDefault="00BA6FF4" w:rsidP="00BA6FF4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A6FF4" w:rsidRPr="00BA6FF4" w:rsidRDefault="00BA6FF4" w:rsidP="00BA6FF4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A6FF4" w:rsidRPr="00BA6FF4" w:rsidRDefault="00BA6FF4" w:rsidP="00BA6FF4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другие сведения, относящиеся к предмету договора.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b/>
          <w:bCs/>
          <w:color w:val="717070"/>
          <w:sz w:val="21"/>
          <w:szCs w:val="21"/>
          <w:lang w:eastAsia="ru-RU"/>
        </w:rPr>
        <w:t>Информация об учреждении и предоставляемых им медицинских услугах размещена на сайте медицинской организации в информационно-телекоммуникационной сети «Интернет», а также на информационных стендах медицинской организации.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Порядок предоставления платных медицинских услуг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— требованиям, предъявляемым к услугам соответствующего вида.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BA6FF4" w:rsidRPr="00BA6FF4" w:rsidRDefault="00BA6FF4" w:rsidP="00BA6FF4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BA6FF4" w:rsidRPr="00BA6FF4" w:rsidRDefault="00BA6FF4" w:rsidP="00BA6FF4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color w:val="717070"/>
          <w:sz w:val="21"/>
          <w:szCs w:val="21"/>
          <w:lang w:eastAsia="ru-RU"/>
        </w:rPr>
      </w:pPr>
      <w:r w:rsidRPr="00BA6FF4">
        <w:rPr>
          <w:rFonts w:ascii="inherit" w:eastAsia="Times New Roman" w:hAnsi="inherit" w:cs="Arial"/>
          <w:color w:val="717070"/>
          <w:sz w:val="21"/>
          <w:szCs w:val="21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BA6FF4" w:rsidRPr="00BA6FF4" w:rsidRDefault="00BA6FF4" w:rsidP="00BA6FF4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717070"/>
          <w:sz w:val="21"/>
          <w:szCs w:val="21"/>
          <w:lang w:eastAsia="ru-RU"/>
        </w:rPr>
      </w:pPr>
      <w:r w:rsidRPr="00BA6FF4">
        <w:rPr>
          <w:rFonts w:ascii="Arial" w:eastAsia="Times New Roman" w:hAnsi="Arial" w:cs="Arial"/>
          <w:color w:val="717070"/>
          <w:sz w:val="21"/>
          <w:szCs w:val="21"/>
          <w:lang w:eastAsia="ru-RU"/>
        </w:rPr>
        <w:t>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E47CC6" w:rsidRDefault="00E47CC6">
      <w:bookmarkStart w:id="0" w:name="_GoBack"/>
      <w:bookmarkEnd w:id="0"/>
    </w:p>
    <w:sectPr w:rsidR="00E4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E89"/>
    <w:multiLevelType w:val="multilevel"/>
    <w:tmpl w:val="8848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12C3C"/>
    <w:multiLevelType w:val="multilevel"/>
    <w:tmpl w:val="7FE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760D88"/>
    <w:multiLevelType w:val="multilevel"/>
    <w:tmpl w:val="7C84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48"/>
    <w:rsid w:val="00957248"/>
    <w:rsid w:val="00BA6FF4"/>
    <w:rsid w:val="00E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ACFD-0613-448F-A94C-86237EDB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2019-09-05T05:27:00Z</dcterms:created>
  <dcterms:modified xsi:type="dcterms:W3CDTF">2019-09-05T05:27:00Z</dcterms:modified>
</cp:coreProperties>
</file>