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b/>
          <w:bCs/>
          <w:color w:val="020C22"/>
          <w:sz w:val="21"/>
          <w:szCs w:val="21"/>
          <w:lang w:eastAsia="ru-RU"/>
        </w:rPr>
        <w:t>УВАЖАЕМЫЕ ДОНОРЫ!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В связи с вступлением в силу Приказа Минздрава России от 17.12.2012г. N1069н "Об утверждении случаев, в которых возможна сдача крови и (или) ее компонентов за плату, а также размеров такой платы" предусмотрены случаи, когда допускается сдача крови и/или компонентов за плату.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Таковыми являются ситуации, когда у донора редкий фенотип крови, нет какого-либо из определенных антигенов эритроцитов, либо по </w:t>
      </w:r>
      <w:proofErr w:type="spellStart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медпоказаниям</w:t>
      </w:r>
      <w:proofErr w:type="spellEnd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он может быть допущен к сдаче плазмы, тромбоцитов, эритроцитов или лейкоцитов методом </w:t>
      </w:r>
      <w:proofErr w:type="spellStart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афереза</w:t>
      </w:r>
      <w:proofErr w:type="spellEnd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. Эти особенности устанавливаются на основании </w:t>
      </w:r>
      <w:proofErr w:type="spellStart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медобследования</w:t>
      </w:r>
      <w:proofErr w:type="spellEnd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донора и фиксируются в его медицинской документации. 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Определен размер платы за сдачу крови/компонентов в указанных случаях.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070"/>
      </w:tblGrid>
      <w:tr w:rsidR="00F924D0" w:rsidRPr="00F924D0" w:rsidTr="00F924D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Размер платы</w:t>
            </w:r>
          </w:p>
        </w:tc>
      </w:tr>
      <w:tr w:rsidR="00F924D0" w:rsidRPr="00F924D0" w:rsidTr="00F924D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донацию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тромбоцитов (процедуру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тромбоцитафереза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)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35% от действующей на дату сдачи компонента величины прожиточного минимума трудоспособного населения, установленного в субъекте РФ</w:t>
            </w:r>
          </w:p>
        </w:tc>
      </w:tr>
      <w:tr w:rsidR="00F924D0" w:rsidRPr="00F924D0" w:rsidTr="00F924D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донацию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крови в объеме 450 (+/-10%)мл (редкий фенотип)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8% от действующей на дату сдачи крови величины прожиточного минимума трудоспособного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тнаселения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, установленного в субъекте РФ</w:t>
            </w:r>
          </w:p>
        </w:tc>
      </w:tr>
      <w:tr w:rsidR="00F924D0" w:rsidRPr="00F924D0" w:rsidTr="00F924D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донацию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плазмы в объеме 600 (+/- 10%) мл (методом аппаратного или двойного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плазмафереза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)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F924D0" w:rsidRPr="00F924D0" w:rsidRDefault="00F924D0" w:rsidP="00F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15% от действующей на дату сдачи компонента величины прожиточного минимума </w:t>
            </w:r>
            <w:proofErr w:type="spellStart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трудоспобного</w:t>
            </w:r>
            <w:proofErr w:type="spellEnd"/>
            <w:r w:rsidRPr="00F924D0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населения, установленного в субъекте РФ</w:t>
            </w:r>
          </w:p>
        </w:tc>
      </w:tr>
    </w:tbl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В связи с опубликованием 05.08.2019г. Постановления Правительства Орловской области от 02.08.2019г. № 434 "Об установлении величины прожиточного минимума на душу населения и по основным социально-демографическим группам населения в Орловской области за </w:t>
      </w:r>
      <w:proofErr w:type="spellStart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ll</w:t>
      </w:r>
      <w:proofErr w:type="spellEnd"/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квартал 2019 года", сообщаем, что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b/>
          <w:bCs/>
          <w:color w:val="020C22"/>
          <w:sz w:val="21"/>
          <w:szCs w:val="21"/>
          <w:u w:val="single"/>
          <w:lang w:eastAsia="ru-RU"/>
        </w:rPr>
        <w:t>с 16 августа 2019 года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: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o   При исчислении конкретных сумм платы </w:t>
      </w:r>
      <w:r w:rsidRPr="00F924D0">
        <w:rPr>
          <w:rFonts w:ascii="Verdana" w:eastAsia="Times New Roman" w:hAnsi="Verdana" w:cs="Times New Roman"/>
          <w:b/>
          <w:bCs/>
          <w:i/>
          <w:iCs/>
          <w:color w:val="020C22"/>
          <w:sz w:val="21"/>
          <w:szCs w:val="21"/>
          <w:lang w:eastAsia="ru-RU"/>
        </w:rPr>
        <w:t>за сдачу крови и (или) её компонентов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, в соответствии с Приказом Минздрава России от 17.12.2012 №1069н "Об утверждении случаев, в которых возможна сдача крови и (или) ее компонентов за плату, а также размеров такой платы" в редакции Приказа Минздрава России от 12.07.2013 №456н, к расчету принимать величину прожиточного минимума 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u w:val="single"/>
          <w:lang w:eastAsia="ru-RU"/>
        </w:rPr>
        <w:t>трудоспособного населения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в размере </w:t>
      </w:r>
      <w:r w:rsidRPr="00F924D0">
        <w:rPr>
          <w:rFonts w:ascii="Verdana" w:eastAsia="Times New Roman" w:hAnsi="Verdana" w:cs="Times New Roman"/>
          <w:b/>
          <w:bCs/>
          <w:color w:val="020C22"/>
          <w:sz w:val="21"/>
          <w:szCs w:val="21"/>
          <w:u w:val="single"/>
          <w:lang w:eastAsia="ru-RU"/>
        </w:rPr>
        <w:t>11 124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рубль;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o   При исчислении конкретной суммы </w:t>
      </w:r>
      <w:r w:rsidRPr="00F924D0">
        <w:rPr>
          <w:rFonts w:ascii="Verdana" w:eastAsia="Times New Roman" w:hAnsi="Verdana" w:cs="Times New Roman"/>
          <w:b/>
          <w:bCs/>
          <w:i/>
          <w:iCs/>
          <w:color w:val="020C22"/>
          <w:sz w:val="21"/>
          <w:szCs w:val="21"/>
          <w:lang w:eastAsia="ru-RU"/>
        </w:rPr>
        <w:t>денежной компенсации взамен бесплатного питания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донора, в соответствии с Приказом Минздрава России от 26.04.2013 №265н «О случаях возможности замены бесплатного питания донора крови и (или) ее компонентов денежной компенсацией и порядке установления ее размера», к расчету принимать величину прожиточного минимума трудоспособного населения в размере </w:t>
      </w:r>
      <w:r w:rsidRPr="00F924D0">
        <w:rPr>
          <w:rFonts w:ascii="Verdana" w:eastAsia="Times New Roman" w:hAnsi="Verdana" w:cs="Times New Roman"/>
          <w:b/>
          <w:bCs/>
          <w:color w:val="020C22"/>
          <w:sz w:val="21"/>
          <w:szCs w:val="21"/>
          <w:u w:val="single"/>
          <w:lang w:eastAsia="ru-RU"/>
        </w:rPr>
        <w:t>11 124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рубль;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o   При исчислении конкретных сумм денежных выплат, предоставляемых в виде </w:t>
      </w:r>
      <w:r w:rsidRPr="00F924D0">
        <w:rPr>
          <w:rFonts w:ascii="Verdana" w:eastAsia="Times New Roman" w:hAnsi="Verdana" w:cs="Times New Roman"/>
          <w:b/>
          <w:bCs/>
          <w:i/>
          <w:iCs/>
          <w:color w:val="020C22"/>
          <w:sz w:val="21"/>
          <w:szCs w:val="21"/>
          <w:lang w:eastAsia="ru-RU"/>
        </w:rPr>
        <w:t>мер социальной поддержки донорам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, безвозмездно сдавшим кровь и (или) ее компоненты, в соответствии со статьей 21.1 Закона Орловской области от 25.12.2012 №1444-ОЗ «Об 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lastRenderedPageBreak/>
        <w:t>основах охраны здоровья граждан в Орловской области», к расчету принимать величину прожиточного минимума на душу населения в размере</w:t>
      </w:r>
      <w:r w:rsidRPr="00F924D0">
        <w:rPr>
          <w:rFonts w:ascii="Verdana" w:eastAsia="Times New Roman" w:hAnsi="Verdana" w:cs="Times New Roman"/>
          <w:b/>
          <w:bCs/>
          <w:color w:val="020C22"/>
          <w:sz w:val="21"/>
          <w:szCs w:val="21"/>
          <w:u w:val="single"/>
          <w:lang w:eastAsia="ru-RU"/>
        </w:rPr>
        <w:t> 10 362</w:t>
      </w: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рубля.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</w:t>
      </w:r>
    </w:p>
    <w:p w:rsidR="00F924D0" w:rsidRPr="00F924D0" w:rsidRDefault="00F924D0" w:rsidP="00F924D0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F924D0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 </w:t>
      </w:r>
    </w:p>
    <w:p w:rsidR="001B07A6" w:rsidRDefault="001B07A6">
      <w:bookmarkStart w:id="0" w:name="_GoBack"/>
      <w:bookmarkEnd w:id="0"/>
    </w:p>
    <w:sectPr w:rsidR="001B07A6" w:rsidSect="00F92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6"/>
    <w:rsid w:val="00053886"/>
    <w:rsid w:val="001B07A6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2A49-D26E-4D73-A80B-84349BA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2019-10-23T10:45:00Z</dcterms:created>
  <dcterms:modified xsi:type="dcterms:W3CDTF">2019-10-23T10:45:00Z</dcterms:modified>
</cp:coreProperties>
</file>