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61" w:rsidRPr="005C2161" w:rsidRDefault="005C2161" w:rsidP="005C2161">
      <w:pPr>
        <w:spacing w:after="240" w:line="306" w:lineRule="atLeas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В рамках Программы государственных гарантий бесплатного оказания гражданам медицинской помощи (Программа) бесплатно предоставляются: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первичная медико-санитарная помощь, в том числе доврачебная, врачебная и специализированная;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специализированная медицинская помощь,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скорая медицинская помощь.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</w:r>
      <w:r w:rsidRPr="005C2161">
        <w:rPr>
          <w:rFonts w:ascii="Verdana" w:eastAsia="Times New Roman" w:hAnsi="Verdana" w:cs="Times New Roman"/>
          <w:b/>
          <w:bCs/>
          <w:color w:val="003C5B"/>
          <w:sz w:val="18"/>
          <w:szCs w:val="18"/>
          <w:lang w:eastAsia="ru-RU"/>
        </w:rPr>
        <w:t>Первичная медико-санитарная помощь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</w:r>
      <w:r w:rsidRPr="005C2161">
        <w:rPr>
          <w:rFonts w:ascii="Verdana" w:eastAsia="Times New Roman" w:hAnsi="Verdana" w:cs="Times New Roman"/>
          <w:b/>
          <w:bCs/>
          <w:color w:val="003C5B"/>
          <w:sz w:val="18"/>
          <w:szCs w:val="18"/>
          <w:lang w:eastAsia="ru-RU"/>
        </w:rPr>
        <w:t>Первичная врачебная медико-санитарная помощь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оказывается врачами-терапевтами, врачами-терапевтами участковыми, врачами-педиатрами и врачами-педиатрами участковыми.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</w:r>
      <w:r w:rsidRPr="005C2161">
        <w:rPr>
          <w:rFonts w:ascii="Verdana" w:eastAsia="Times New Roman" w:hAnsi="Verdana" w:cs="Times New Roman"/>
          <w:b/>
          <w:bCs/>
          <w:color w:val="003C5B"/>
          <w:sz w:val="18"/>
          <w:szCs w:val="18"/>
          <w:lang w:eastAsia="ru-RU"/>
        </w:rPr>
        <w:t>Первичная специализированная медико-санитарная помощь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 медицинскую помощь.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</w:r>
      <w:r w:rsidRPr="005C2161">
        <w:rPr>
          <w:rFonts w:ascii="Verdana" w:eastAsia="Times New Roman" w:hAnsi="Verdana" w:cs="Times New Roman"/>
          <w:b/>
          <w:bCs/>
          <w:color w:val="003C5B"/>
          <w:sz w:val="18"/>
          <w:szCs w:val="18"/>
          <w:lang w:eastAsia="ru-RU"/>
        </w:rPr>
        <w:t>Скорая медицинская помощь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Скорая медицинская помощь оказывается гражданам бесплатно.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Медицинская помощь оказывается в следующих формах: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здоровья.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скорой медицинской помощи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N 61-ФЗ "Об обращении лекарственных средств", и медицинскими изделиями, которые предусмотрены стандартами медицинской помощи.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Медицинская помощь может оказываться в следующих условиях: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Вне медицинской организации (по месту вызова бригады скорой медицинской помощи, а также в транспортном средстве при медицинской эвакуации).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Стационарно (в условиях, обеспечивающих круглосуточное медицинское наблюдение и лечение).</w:t>
      </w:r>
    </w:p>
    <w:p w:rsidR="005C2161" w:rsidRPr="005C2161" w:rsidRDefault="005C2161" w:rsidP="005C2161">
      <w:pPr>
        <w:spacing w:after="150" w:line="240" w:lineRule="auto"/>
        <w:outlineLvl w:val="2"/>
        <w:rPr>
          <w:rFonts w:ascii="Georgia" w:eastAsia="Times New Roman" w:hAnsi="Georgia" w:cs="Times New Roman"/>
          <w:b/>
          <w:bCs/>
          <w:color w:val="00598D"/>
          <w:spacing w:val="15"/>
          <w:sz w:val="34"/>
          <w:szCs w:val="34"/>
          <w:lang w:eastAsia="ru-RU"/>
        </w:rPr>
      </w:pPr>
      <w:r w:rsidRPr="005C2161">
        <w:rPr>
          <w:rFonts w:ascii="Georgia" w:eastAsia="Times New Roman" w:hAnsi="Georgia" w:cs="Times New Roman"/>
          <w:b/>
          <w:bCs/>
          <w:color w:val="00598D"/>
          <w:spacing w:val="15"/>
          <w:sz w:val="34"/>
          <w:szCs w:val="34"/>
          <w:lang w:eastAsia="ru-RU"/>
        </w:rPr>
        <w:t>Порядок и условия оказания медицинской помощи</w:t>
      </w:r>
    </w:p>
    <w:p w:rsidR="005C2161" w:rsidRPr="005C2161" w:rsidRDefault="005C2161" w:rsidP="005C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61">
        <w:rPr>
          <w:rFonts w:ascii="Verdana" w:eastAsia="Times New Roman" w:hAnsi="Verdana" w:cs="Times New Roman"/>
          <w:color w:val="151515"/>
          <w:sz w:val="18"/>
          <w:szCs w:val="18"/>
          <w:lang w:eastAsia="ru-RU"/>
        </w:rPr>
        <w:br/>
      </w:r>
    </w:p>
    <w:p w:rsidR="005C2161" w:rsidRPr="005C2161" w:rsidRDefault="005C2161" w:rsidP="005C2161">
      <w:pPr>
        <w:spacing w:after="240" w:line="306" w:lineRule="atLeas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Специализированная медицинская помощь оказывается в медицинских организациях Московской области. В случае отсутствия на территории Московской области медицинских организаций, оказывающих специализированную медицинскую помощь, гражданин направляется в медицинские организации других субъектов Российской Федерации, федеральные медицинские организации.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Направление граждан на консультацию и лечение в специализированные медицинские организации (федеральные, ведомственные, медицинские организации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Российской Федерации.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Направление граждан в медицинские организации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Российской Федерации.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В амбулаторных условиях: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 xml:space="preserve">очередность приема плановых больных составляет не более 14 рабочих дней, очередность проведения назначенных диагностических исследований и лечебных мероприятий составляет не 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lastRenderedPageBreak/>
        <w:t>более 20 рабочих дней;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 экстренным показаниям медицинская помощь оказывается с момента обращения гражданина;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возможно получение пациентом медицинской помощи на дому;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посещение больного на дому производится в течение шести часов с момента поступления вызова в поликлинику.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Прикрепление граждан на обслуживание в медицинской организации осуществляется по участковому принципу. Установление зон обслуживания и закрепление граждан за медицинскими организациями осуществляется органами управления в сфере охраны здоровья (по принадлежности медицинской организации).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Гражданин не чаще чем один раз в год (за исключением случаев изменения места жительства или места пребывания гражданина) вправе осуществить выбор лечащего врача и замену лечащего врача путем подачи заявления лично или через своего представителя на имя руководителя медицинской организации.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Руководитель медицинской организации в течение двух рабочих дней со дня получения заявления информирует гражданина в письменной или устной форме (лично или посредством почтовой связи, телефонной связи, электронной связи) о принятом решении.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Руководитель организации вправе отказать в удовлетворении заявления гражданину, если численность населения на одну штатную должность врача превышает более чем на 15 процентов нормативы, установленные нормативными актами Министерства здравоохранения Российской Федерации.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Московской области: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Граждане по медицинским показаниям обеспечиваются высокотехнологичной медицинской помощью в медицинских организациях Московской области, в федеральных медицинских организациях, медицинских организациях Московской области, участвующих в выполнении государственного задания на оказание высокотехнологичной медицинской помощи, сверх квот Московской области.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Направление граждан в медицинские организации для оказания высокотехнологичной медицинской помощи сверх квот Московской области осуществляется на основании решения комиссии, состав которой утверждается Министерством здравоохранения Московской области.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В лечебно-профилактических медицинских организациях, имеющих стационар: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необходимо наличие направления на госпитализацию (от врача поликлиники или службы скорой медицинской помощи);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больные дети первого года жизни подлежат обязательной госпитализации;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возможно наличие очередности на плановую госпитализацию; госпитализация осуществляется в оптимальные сроки, но не позднее одного месяца со дня получения направления на госпитализацию;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граждане размещаются в палатах на четыре и более мест;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lastRenderedPageBreak/>
        <w:t>при оказании паллиативной медицинской помощи возможно размещение больных в палатах до четырех человек.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Условия размещения пациентов в маломестных палатах (боксах) по медицинским и (или) эпидемиологическим показаниям: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санитарно-эпидемиологическими требованиями;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Порядок обеспечения граждан лекарственными препаратами,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определяется нормативными правовыми актами Российской Федерации и нормативными правовыми актами Московской области.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Мероприятиями по профилактике заболеваний и формированию здорового образа жизни являются: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lastRenderedPageBreak/>
        <w:t>проведение диспансеризации населения разных возрастных групп с применением скрининговых исследований;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увеличение кабинетов медицинской профилактики в медицинских организациях и совершенствование методов их работы;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расширение системы раннего выявления потребителей психоактивных веществ;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популяризация знаний о негативном влиянии на здоровье потребления табака, алкоголя, наркотических и психоактивных веществ.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основе, перечень организаций и врачей-специалистов, осуществляющих диспансеризацию, план-график проведения диспансеризации устанавливаются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области.</w:t>
      </w:r>
    </w:p>
    <w:p w:rsidR="005C2161" w:rsidRPr="005C2161" w:rsidRDefault="005C2161" w:rsidP="005C2161">
      <w:pPr>
        <w:spacing w:after="150" w:line="240" w:lineRule="auto"/>
        <w:outlineLvl w:val="2"/>
        <w:rPr>
          <w:rFonts w:ascii="Georgia" w:eastAsia="Times New Roman" w:hAnsi="Georgia" w:cs="Times New Roman"/>
          <w:b/>
          <w:bCs/>
          <w:color w:val="00598D"/>
          <w:spacing w:val="15"/>
          <w:sz w:val="34"/>
          <w:szCs w:val="34"/>
          <w:lang w:eastAsia="ru-RU"/>
        </w:rPr>
      </w:pPr>
      <w:r w:rsidRPr="005C2161">
        <w:rPr>
          <w:rFonts w:ascii="Georgia" w:eastAsia="Times New Roman" w:hAnsi="Georgia" w:cs="Times New Roman"/>
          <w:b/>
          <w:bCs/>
          <w:color w:val="00598D"/>
          <w:spacing w:val="15"/>
          <w:sz w:val="34"/>
          <w:szCs w:val="34"/>
          <w:lang w:eastAsia="ru-RU"/>
        </w:rPr>
        <w:t>Об условиях оказания скорой медицинской помощи, установленных Московской областной программой государственных гарантий бесплатного оказания гражданам медицинской помощи</w:t>
      </w:r>
    </w:p>
    <w:p w:rsidR="005C2161" w:rsidRPr="005C2161" w:rsidRDefault="005C2161" w:rsidP="005C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61">
        <w:rPr>
          <w:rFonts w:ascii="Verdana" w:eastAsia="Times New Roman" w:hAnsi="Verdana" w:cs="Times New Roman"/>
          <w:color w:val="151515"/>
          <w:sz w:val="18"/>
          <w:szCs w:val="18"/>
          <w:lang w:eastAsia="ru-RU"/>
        </w:rPr>
        <w:br/>
      </w:r>
    </w:p>
    <w:p w:rsidR="005C2161" w:rsidRPr="005C2161" w:rsidRDefault="005C2161" w:rsidP="005C2161">
      <w:pPr>
        <w:spacing w:after="240" w:line="306" w:lineRule="atLeas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C2161" w:rsidRPr="005C2161" w:rsidRDefault="005C2161" w:rsidP="005C2161">
      <w:pPr>
        <w:spacing w:after="150" w:line="240" w:lineRule="auto"/>
        <w:outlineLvl w:val="2"/>
        <w:rPr>
          <w:rFonts w:ascii="Georgia" w:eastAsia="Times New Roman" w:hAnsi="Georgia" w:cs="Times New Roman"/>
          <w:b/>
          <w:bCs/>
          <w:color w:val="00598D"/>
          <w:spacing w:val="15"/>
          <w:sz w:val="34"/>
          <w:szCs w:val="34"/>
          <w:lang w:eastAsia="ru-RU"/>
        </w:rPr>
      </w:pPr>
      <w:r w:rsidRPr="005C2161">
        <w:rPr>
          <w:rFonts w:ascii="Georgia" w:eastAsia="Times New Roman" w:hAnsi="Georgia" w:cs="Times New Roman"/>
          <w:b/>
          <w:bCs/>
          <w:color w:val="00598D"/>
          <w:spacing w:val="15"/>
          <w:sz w:val="34"/>
          <w:szCs w:val="34"/>
          <w:lang w:eastAsia="ru-RU"/>
        </w:rPr>
        <w:t>Критерии доступности и качества медицинской помощи, установленные в Московской областной программе государственных гарантий бесплатного оказания гражданам медицинской помощи на 2016 год</w:t>
      </w:r>
    </w:p>
    <w:p w:rsidR="005C2161" w:rsidRPr="005C2161" w:rsidRDefault="005C2161" w:rsidP="005C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61">
        <w:rPr>
          <w:rFonts w:ascii="Verdana" w:eastAsia="Times New Roman" w:hAnsi="Verdana" w:cs="Times New Roman"/>
          <w:color w:val="151515"/>
          <w:sz w:val="18"/>
          <w:szCs w:val="18"/>
          <w:lang w:eastAsia="ru-RU"/>
        </w:rPr>
        <w:lastRenderedPageBreak/>
        <w:br/>
      </w:r>
    </w:p>
    <w:p w:rsidR="005C2161" w:rsidRPr="005C2161" w:rsidRDefault="005C2161" w:rsidP="005C2161">
      <w:pPr>
        <w:spacing w:after="0" w:line="306" w:lineRule="atLeas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    Критериями доступности и качества медицинской помощи являются: удовлетворенность населения медицинской помощью - не менее 66,5 процента, в том числе: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городского населения - не менее 66,5 процента; сельского населения - не менее 66,5 процента;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     смертность населения от болезней системы кровообращения (число умерших от болезней системы кровообращения на 100 тыс. человек населения) - не более 750,0 случая, в том числе: городского - не более 769,0 случая; сельского - не более 708,5 случая;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     смертность населения от злокачественных новообразований (число умерших от злокачественных новообразований на 100 тыс. человек населения) - не более 210,0 случая, в том числе: городского - не более 227,0 случая; сельского - не более 200,0 случая;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     смертность населения от туберкулеза (случаев на 100 тыс. человек населения) - не более 6,28 случая, в том числе: городского - не более 5,1 случая; сельского - не более 6,8 случая;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     смертность населения в трудоспособном возрасте (число умерших в трудоспособном возрасте на 100 тыс. человек населения) - не более 544,0 случая;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>     смертность населения трудоспособного возраста от болезней системы кровообоащения (число умерших от болезней системы кровообращения в трудоспособном возрасте на 100 тыс. человек населения) - не более 180,0 случая;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br/>
        <w:t xml:space="preserve">доля умерших в трудоспособном возрасте на дому в общем количестве умерших в трудоспособном возрасте - не более 18,0 процента; материнская смертность (на 100 тыс. человек, родившихся живыми) - не более 10,2 случая; младенческая смертность (на 1000 человек, родившихся живыми, в том числе в городской и сельской местности) - не более 6,7 случая, в том числе: городского - не более 7,3 случая; сельского - не более 3,8 случая; доля умерших в возрасте до 1 года на дому в общем количестве умерших в возрасте до 1 года - не более 5,5 процента; смертность детей в возрасте 0-4 лет (на 100 тыс. человек населелия соответствующего возраста) - не более 165,5 случая; доля умерших в возрасте 0-4 лет на дому в общем количестве умерших в возрасте 0-4 лет - не более 7,1 процента; смертность детей в возрасте 0-17 лет (на 100 тыс. человек населения соответствующего возраста) - не более 71,0 случая; доля умерших в возрасте 0-17 лет на дому в общем количестве умерших в возрасте 0-17 лет - не более 10,1 процента; 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не менее Г 8,3 процента; доля впервые выявленных случаев фиброзно-кавернозного туберкулеза в общем количестве выявленных случаев туберкулеза в течение года - не более 2,0 процентов;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- не менее 53,0 процента; 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- не менее 50,0 процента; доля пациентов с острым инфарктом миокарда, которым проведена тромболитическая терапия, в общем количестве пациентов с острым инфарктом миокарда - не менее 25,6 процента;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 - не менее 16,8 процента; доля пациентов с острым и повторным инфарктом миокарда, которым выездной бригадой скорой медицинской помощи проведен тромболиз в общем количестве пациентов с острыми и повторным инфарктом миокард, которым оказана медицинская помощь выездными бригадами скорой медицинской помощи, • не менее 15,0 процента; доля пациентов с острыми цереброваскулярными болезнями, госпитализированных в первые 6 часов </w:t>
      </w: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lastRenderedPageBreak/>
        <w:t>от начала заболевания, в общем количестве госпитализированных пациентов с острыми цереброваскулярными болезнями - 39,7 процента; 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 - не менее 2,1 процента; количество обоснованных жалоб, в том числе на отказ в оказании медицинской помощи, предоставляемой в рамках Московской областной программы, - 0,003^ на 1000 человек населения; обеспеченность населения врачами (включая городское и сельское население) - не менее 31,6 на 10 тыс. человек населения, в том числе оказывающими медицинскую помощь: в амбулаторных условиях - не менее 18,1 на 10 тыс. человек населения; в стационарных условиях - не менее 10,4 на 10 тыс. человек населения; обеспеченность населения средним медицинским персоналом (включая городское и сельское население) - не менее 66,5 на 10 тыс. человек населения, в том числе оказывающим медицинскую помощь: в амбулаторных условиях - не менее 32,6 на 10 тыс. человек населения; в стационарных условиях - не менее 30,9 на 10 тыс. человек населения; средняя длительность лечения в медицинских организациях, оказывающих медицинскую помощь в стационарных условиях, в среднем по Московской области - не более 11,6 дня; доля расходов на оказание медицинской помощи в условиях дневных стационаров в общих расходах на Московскую областную программу - не менее 7,0 процента; доля расходов на оказание медицинской помощи в амбулаторных условиях в неотложной форме в общих расходах на Московскую областную программу - не менее 2,1 процента; полнота охвата профилактическими медицинскими осмотрами детей - не менее 90,0 процента, в том числе проживающих: в городской местности - не менее 90,0 процента; в сельской местности - не менее 90,0 процента; 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- не менее 11,0 процента; число лиц, проживающих в сельской местности, которым оказана скорая медицинская помощь, на 1000 человек сельского населения - не более 390,0 случая;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не более 25,0 процента. Эффективность деятельности медицинских организаций: выполнение функции врачебной должности не менее 4360 посещения, в том числе расположенных: в городской местности - не менее 4115 посещения; в сельской местности - не менее 4480 посещения; показатели рационального и целевого использования коечного фонда - число работы койки в году - не менее 332 дня, в том числе расположенных: в городской местности - не менее 331,2 дня; в сельской местности - не менее 341,0 дня.</w:t>
      </w:r>
    </w:p>
    <w:p w:rsidR="005C2161" w:rsidRPr="005C2161" w:rsidRDefault="005C2161" w:rsidP="005C2161">
      <w:pPr>
        <w:spacing w:after="0" w:line="306" w:lineRule="atLeas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C2161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</w:t>
      </w:r>
    </w:p>
    <w:p w:rsidR="007D46A6" w:rsidRDefault="007D46A6">
      <w:bookmarkStart w:id="0" w:name="_GoBack"/>
      <w:bookmarkEnd w:id="0"/>
    </w:p>
    <w:sectPr w:rsidR="007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C1"/>
    <w:rsid w:val="005C2161"/>
    <w:rsid w:val="007D46A6"/>
    <w:rsid w:val="00C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1C48-5F45-4CE3-9529-0C4F5594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3326</Words>
  <Characters>18960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2019-11-08T06:31:00Z</dcterms:created>
  <dcterms:modified xsi:type="dcterms:W3CDTF">2019-11-08T06:31:00Z</dcterms:modified>
</cp:coreProperties>
</file>