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99" w:rsidRPr="00F74499" w:rsidRDefault="00F74499" w:rsidP="00F74499">
      <w:pPr>
        <w:spacing w:before="180" w:after="180" w:line="240" w:lineRule="auto"/>
        <w:rPr>
          <w:rFonts w:ascii="Arial" w:eastAsia="Times New Roman" w:hAnsi="Arial" w:cs="Arial"/>
          <w:color w:val="22282A"/>
          <w:sz w:val="24"/>
          <w:szCs w:val="24"/>
          <w:lang w:eastAsia="ru-RU"/>
        </w:rPr>
      </w:pPr>
      <w:r w:rsidRPr="00F74499">
        <w:rPr>
          <w:rFonts w:ascii="Arial" w:eastAsia="Times New Roman" w:hAnsi="Arial" w:cs="Arial"/>
          <w:b/>
          <w:bCs/>
          <w:i/>
          <w:iCs/>
          <w:color w:val="22282A"/>
          <w:sz w:val="24"/>
          <w:szCs w:val="24"/>
          <w:lang w:eastAsia="ru-RU"/>
        </w:rPr>
        <w:t>Тарифы на платные медицинские услуги</w:t>
      </w:r>
      <w:r w:rsidRPr="00F74499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, оказываемые государственным бюджетным учреждением здравоохранения Нижегородской области "Городская клиническая больница № 30 Московского района </w:t>
      </w:r>
      <w:proofErr w:type="spellStart"/>
      <w:r w:rsidRPr="00F74499">
        <w:rPr>
          <w:rFonts w:ascii="Arial" w:eastAsia="Times New Roman" w:hAnsi="Arial" w:cs="Arial"/>
          <w:color w:val="22282A"/>
          <w:sz w:val="24"/>
          <w:szCs w:val="24"/>
          <w:lang w:eastAsia="ru-RU"/>
        </w:rPr>
        <w:t>г.Нижнего</w:t>
      </w:r>
      <w:proofErr w:type="spellEnd"/>
      <w:r w:rsidRPr="00F74499">
        <w:rPr>
          <w:rFonts w:ascii="Arial" w:eastAsia="Times New Roman" w:hAnsi="Arial" w:cs="Arial"/>
          <w:color w:val="22282A"/>
          <w:sz w:val="24"/>
          <w:szCs w:val="24"/>
          <w:lang w:eastAsia="ru-RU"/>
        </w:rPr>
        <w:t xml:space="preserve"> Новгорода"</w:t>
      </w:r>
    </w:p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7366"/>
        <w:gridCol w:w="1258"/>
      </w:tblGrid>
      <w:tr w:rsidR="00F74499" w:rsidRPr="00F74499" w:rsidTr="00F74499">
        <w:trPr>
          <w:trHeight w:val="39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п/н 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Тариф (</w:t>
            </w:r>
            <w:proofErr w:type="spellStart"/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руб</w:t>
            </w:r>
            <w:proofErr w:type="spellEnd"/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)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Прием (осмотр, консультация) врачей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врача-гастроэнтеролога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врача-гастроэнтеролога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врача-гастроэнтеролога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врача-гастроэнтеролога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врача-анестезиолога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врача-анестезиолога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врача-анестезиолога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врача-анестезиолога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по лечебной физкультуре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врачапо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лечебной физкультуре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приемного отделения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приемного отделения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приемного отделения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приемного отделения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врача-уролога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врача-уролога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врача-уролога ( первичный)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врача-уролога ( повторный)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врача-физиотерапевта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врача-физиотерапевта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врача-функциональной диагностики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врача-функциональной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диагносики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первичный)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повторный) заведующий отделением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 терапевта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ультазвуковой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диагностики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ультазвуковой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диагностики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врача-хирурга (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врача-хирурга ( повторный)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врача-хирурга ( первичный)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врача-хирурга ( повторный)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врача-пластического хирурга ( первичный)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875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Прием (осмотр, консультация) врача-пластического хирурга ( повторный) заведующий </w:t>
            </w:r>
            <w:proofErr w:type="spellStart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отделением,кандидат</w:t>
            </w:r>
            <w:proofErr w:type="spellEnd"/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врача-челюстно-лицевого хирурга ( первичный)кандидат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625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Прием (осмотр, консультация) врача-челюстно-лицевого хирурга ( повторный)кандидат медицинских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500</w:t>
            </w:r>
          </w:p>
        </w:tc>
      </w:tr>
      <w:tr w:rsidR="00F74499" w:rsidRPr="00F74499" w:rsidTr="00F74499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499" w:rsidRPr="00F74499" w:rsidRDefault="00F74499" w:rsidP="00F74499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F74499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</w:tbl>
    <w:p w:rsidR="0057169C" w:rsidRDefault="0057169C">
      <w:bookmarkStart w:id="0" w:name="_GoBack"/>
      <w:bookmarkEnd w:id="0"/>
    </w:p>
    <w:sectPr w:rsidR="005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2"/>
    <w:rsid w:val="0057169C"/>
    <w:rsid w:val="00BB77A2"/>
    <w:rsid w:val="00F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868FC-984A-4462-8712-69821EB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2019-10-21T09:43:00Z</dcterms:created>
  <dcterms:modified xsi:type="dcterms:W3CDTF">2019-10-21T09:43:00Z</dcterms:modified>
</cp:coreProperties>
</file>