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 xml:space="preserve">(Письмо Минздрава России от 15 августа 2018 года № 11–8/10/2–5437 «О направлении для использования в работе Памятки для </w:t>
      </w:r>
      <w:proofErr w:type="gramStart"/>
      <w:r>
        <w:rPr>
          <w:rStyle w:val="a4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граждан  о</w:t>
      </w:r>
      <w:proofErr w:type="gramEnd"/>
      <w:r>
        <w:rPr>
          <w:rStyle w:val="a4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 xml:space="preserve"> гарантиях бесплатного оказания медицинской помощи»)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1. Какие виды медицинской помощи вам оказываются бесплатно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рамках Программы бесплатно предоставляются: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1.1. Первичная медико-санитарная помощь, включающая: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первичную специализированную медицинскую помощь, которая оказывается врачами специалистами.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1.2.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1.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3.Высокотехнологичная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1.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4.Скорая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Вышеуказанные виды медицинской помощи включают бесплатное проведение: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медицинской реабилитации;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экстракорпорального оплодотворения (ЭКО);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различных видов диализа;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химиотерапии при злокачественных заболеваниях;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профилактических мероприятий, включая: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Кроме того, Программой гарантируется проведение: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–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пренатальной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(дородовой) диагностики нарушений развития ребенка у беременных женщин;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неонатального скрининга на 5 наследственных и врожденных заболеваний у новорожденных детей;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–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аудиологического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скрининга у новорожденных детей и детей первого года жизни.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Граждане обеспечиваются лекарственными препаратами в соответствии с Программой.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2. Каковы предельные сроки ожидания вами медицинской помощи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Медицинская помощь оказывается гражданам в трех формах – плановая, неотложная и экстренная.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Сроки ожидания оказания медицинской помощи в плановой форме для: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Время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доезда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доезда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3. За что вы не должны платить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оказание медицинских услуг;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4. О платных медицинских услугах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– на иных условиях, чем предусмотрено Программой, территориальными программами и (или) целевыми программами. Вам следует ознакомиться с важным для </w:t>
      </w:r>
      <w:r>
        <w:rPr>
          <w:rFonts w:ascii="Arial" w:hAnsi="Arial" w:cs="Arial"/>
          <w:color w:val="111111"/>
          <w:sz w:val="23"/>
          <w:szCs w:val="23"/>
        </w:rPr>
        <w:lastRenderedPageBreak/>
        <w:t>гражданина разделом Программы и территориальной программы «Порядок и условия бесплатного оказания гражданам медицинской помощи»;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при самостоятельном обращении за получением медицинских услуг, за исключением: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5. Куда обращаться по возникающим вопросам и при нарушении ваших прав на бесплатную медицинскую помощь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оказание, следует обращаться в: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– профессиональные некоммерческие медицинские и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пациентские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организации;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6. Что вам следует знать о страховых представителях страховых медицинских организаций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Страховой представитель: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– предоставляет вам справочно-консультативную информацию, в том числе о праве выбора (замены) и порядке выбора (замены) страховой медицинской </w:t>
      </w:r>
      <w:r>
        <w:rPr>
          <w:rFonts w:ascii="Arial" w:hAnsi="Arial" w:cs="Arial"/>
          <w:color w:val="111111"/>
          <w:sz w:val="23"/>
          <w:szCs w:val="23"/>
        </w:rPr>
        <w:lastRenderedPageBreak/>
        <w:t>организации, медицинской организации и врача, а также о порядке получения полиса обязательного медицинского страхования;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информирует Вас о необходимости прохождения диспансеризации и опрашивает по результатам ее прохождения;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консультирует Вас по вопросам оказания медицинской помощи;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контролирует прохождение Вами диспансеризации;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отказе в записи на прием к врачу специалисту при наличии направления лечащего врача;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нарушении предельных сроков ожидания медицинской помощи в плановой, неотложной и экстренной формах;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DF1AEC" w:rsidRDefault="00DF1AEC" w:rsidP="00DF1AEC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иных случаях, когда вы считаете, что ваши права нарушаются.</w:t>
      </w:r>
    </w:p>
    <w:p w:rsidR="00E11040" w:rsidRDefault="00E11040">
      <w:bookmarkStart w:id="0" w:name="_GoBack"/>
      <w:bookmarkEnd w:id="0"/>
    </w:p>
    <w:sectPr w:rsidR="00E1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C3"/>
    <w:rsid w:val="00D56EC3"/>
    <w:rsid w:val="00DF1AEC"/>
    <w:rsid w:val="00E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1488"/>
  <w15:chartTrackingRefBased/>
  <w15:docId w15:val="{2315DD39-FE90-410F-9291-A4ADA40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AEC"/>
    <w:rPr>
      <w:i/>
      <w:iCs/>
    </w:rPr>
  </w:style>
  <w:style w:type="character" w:styleId="a5">
    <w:name w:val="Strong"/>
    <w:basedOn w:val="a0"/>
    <w:uiPriority w:val="22"/>
    <w:qFormat/>
    <w:rsid w:val="00DF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2019-08-12T11:59:00Z</dcterms:created>
  <dcterms:modified xsi:type="dcterms:W3CDTF">2019-08-12T11:59:00Z</dcterms:modified>
</cp:coreProperties>
</file>