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4"/>
        <w:gridCol w:w="1126"/>
      </w:tblGrid>
      <w:tr w:rsidR="005903AC" w:rsidRPr="005903AC" w:rsidTr="005903AC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  <w:t>Консультация врача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  <w:t>Цена (руб.)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Консультация врача, осмотр перед вакцинацией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Консультация </w:t>
            </w:r>
            <w:proofErr w:type="gram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врача  к.м.н.</w:t>
            </w:r>
            <w:proofErr w:type="gram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2400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Консультация </w:t>
            </w:r>
            <w:proofErr w:type="gram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врача  к.м.н.</w:t>
            </w:r>
            <w:proofErr w:type="gram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 повторная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2400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Консультация врача  профессора  первичная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3200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Консультация врача  профессора  повторная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2500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Оформление  медицинского заключения, выписок, справок по запросу врачей лечебных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1000 ₽</w:t>
            </w:r>
          </w:p>
        </w:tc>
      </w:tr>
    </w:tbl>
    <w:p w:rsidR="006723EF" w:rsidRDefault="006723EF"/>
    <w:p w:rsidR="005903AC" w:rsidRDefault="005903AC"/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7"/>
        <w:gridCol w:w="853"/>
      </w:tblGrid>
      <w:tr w:rsidR="005903AC" w:rsidRPr="005903AC" w:rsidTr="005903AC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  <w:t>Медицинские процедуры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  <w:t>Цена (руб.)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Забор крови из вены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Забор материала на  исследования (цитологические, бактериологические, иммунологические)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Проведение инъекций </w:t>
            </w:r>
            <w:r w:rsidRPr="005903AC">
              <w:rPr>
                <w:rFonts w:ascii="inherit" w:eastAsia="Times New Roman" w:hAnsi="inherit" w:cs="Helvetica"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(в/м,  п/к)</w:t>
            </w: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без стоимости  препарата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Внутривенное вливание струйное без стоимости препарата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375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Внутрикожные пробы с аллергенами (1 аллерген)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345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Скарификационные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кожные пробы (1 аллерген)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Основной набор кожных проб (домашняя пыль, библиотечная пыль, перо подушки, шерсть кошки, шерсть собаки, шерсть овцы, тараканы, дафнии, клещи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D.pteronyssinus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клещи 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D.farinae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клещи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T.putrescentiae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  шерсть морской свинки,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перхость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лошади, грибковые аллергены, смесь деревьев, береза, орешник, дуб, ольха, клен, ясень, смесь злаков, тимофеевка, ежа сборная, костер, мятлик, смесь сорных трав, амброзия, полынь, лебеда, подсолнечник, одуванчик)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Индивидуальный набор кожных проб 20 аллергенов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2600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Инъекция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аллерговакцины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(без стоимости препарата)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1100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Измерение антропометрических данных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78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Измерение артериального давления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78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Проведение исследования ФВД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1200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Проведение и оценка ФВД с препаратом или с физической нагрузкой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1800 ₽</w:t>
            </w:r>
          </w:p>
        </w:tc>
      </w:tr>
    </w:tbl>
    <w:p w:rsidR="005903AC" w:rsidRDefault="005903AC"/>
    <w:p w:rsidR="005903AC" w:rsidRDefault="005903AC"/>
    <w:p w:rsidR="005903AC" w:rsidRDefault="005903AC"/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2"/>
        <w:gridCol w:w="948"/>
      </w:tblGrid>
      <w:tr w:rsidR="005903AC" w:rsidRPr="005903AC" w:rsidTr="005903AC">
        <w:trPr>
          <w:gridAfter w:val="1"/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  <w:t>Аллергенспецифическая</w:t>
            </w:r>
            <w:proofErr w:type="spellEnd"/>
            <w:r w:rsidRPr="005903AC"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  <w:t xml:space="preserve"> иммунотерапия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Начальный курс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сублингвальной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аллергенспецифической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иммунотерапии препаратом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Cталораль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 (аллерген пыльцы деревьев)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13300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Поддерживающий курс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сублингвальной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аллергенспецифической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иммунотерапии препаратом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Cталораль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 (аллерген пыльцы деревьев)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15000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Курс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сублингвальной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аллергенспецифической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иммунотерапии препаратом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Сталораль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(аллерген пыльцы деревьев) - 5 приемов врачей без препарата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6800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Начальный курс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сублингвальной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аллергенспецифической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иммунотерапии препаратом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Cталораль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 (аллерген клещей)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13300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Поддерживающий курс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сублингвальной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аллергенспецифической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иммунотерапии препаратом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Cталораль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 (аллерген клещей)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13600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Начальный курс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сублингвальной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аллергенспецифической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иммунотерапии препаратом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Оралейр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(аллерген пыльцы луговых трав)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10900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Поддерживающий курс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сублингвальной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аллергенспецифической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иммунотерапии препаратом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Оралейр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(аллерген пыльцы луговых трав)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13600 ₽</w:t>
            </w:r>
          </w:p>
        </w:tc>
      </w:tr>
    </w:tbl>
    <w:p w:rsidR="005903AC" w:rsidRDefault="005903AC"/>
    <w:p w:rsidR="005903AC" w:rsidRDefault="005903AC"/>
    <w:p w:rsidR="005903AC" w:rsidRDefault="005903AC"/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5"/>
        <w:gridCol w:w="1225"/>
      </w:tblGrid>
      <w:tr w:rsidR="005903AC" w:rsidRPr="005903AC" w:rsidTr="005903AC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  <w:t>Вакцины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  <w:t>Цена (руб.)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против гепатита 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Хаврикс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(Англия) взрослая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2420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Альгавак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М (Россия)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1750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против гепатита 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Комбиотех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(Россия) взрослая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1005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Комбиотех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(Россия) детская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960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против гриппа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Ваксигрип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(Франция)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Ультрикс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1100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Гриппол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плюс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1100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против кори, эпидемического паротита и краснухи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Вакцина против кори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1020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Вакцина против эпидемического паротита и кори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1060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Вакцина против паротита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1060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Вакцина против краснухи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против дифтерии, столбняка и коклюша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Инфанрикс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(Бельгия)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2000 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Адасель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(Канада)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3350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против дифтерии, столбняка, коклюша, полиомиелита и гемофильной </w:t>
            </w:r>
            <w:proofErr w:type="spellStart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ифекции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Пентаксим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(Франция)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3600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против дифтерии, столбняка, коклюша, полиомиелита, гепатита В и гемофильной </w:t>
            </w:r>
            <w:proofErr w:type="spellStart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ифекции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Инфанрикс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Гекса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(Бельгия)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4000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против полиомиелита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ОПВ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1040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Полимилекс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1710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против пневмококковой инфекции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Пневмовакс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23 (Франция)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3470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Превенар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(Великобритания)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3680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против менингококковой инфекции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Менактра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(Франция)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5150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Менцевакс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(Бельгия)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2330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против клещевого энцефалита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Вакцина против клещевого энцефалита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против ветряной оспы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Варилрикс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(Бельгия)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3890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против вируса папилломы человека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Гардасил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(6,11,16,18 типы)(США)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9250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Вакцина против </w:t>
            </w:r>
            <w:proofErr w:type="spellStart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ротавирусной</w:t>
            </w:r>
            <w:proofErr w:type="spellEnd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 инфекции </w:t>
            </w: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Рота Тек (США)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3400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Отечественные вакцины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АДС-М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960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Антирабическая вакцина, начиная со 2 по 6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иньекции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1615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ВИАНВАК против брюшного тифа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1415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Вакцина  против дизентерии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Шигеллвак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1400 ₽</w:t>
            </w:r>
          </w:p>
        </w:tc>
      </w:tr>
    </w:tbl>
    <w:p w:rsidR="005903AC" w:rsidRDefault="005903AC"/>
    <w:p w:rsidR="005903AC" w:rsidRDefault="005903AC"/>
    <w:p w:rsidR="005903AC" w:rsidRDefault="005903AC"/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9"/>
        <w:gridCol w:w="1551"/>
      </w:tblGrid>
      <w:tr w:rsidR="005903AC" w:rsidRPr="005903AC" w:rsidTr="005903AC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  <w:lastRenderedPageBreak/>
              <w:t>Отоларингология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  <w:t>Цена (руб.)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Камертональное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исследование слуха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Речевое исследование слуха с одной стороны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Тинпанометрия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Эндоскопическое обследование носовой полости, носоглотки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800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Лечебные процедуры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Апликация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лекарственных веществ на слизистую лор-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Ингаляция лекарственных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Промывание околоносовых пазух через соустье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Промывание лакун миндалин лек. веществами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Промывание полости среднего уха с одной стороны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Удаление серной пробки с одной стороны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Туалет наружного уха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Продувание слуховых труб по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Политцеру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Удаление инородного тела из глотки, носовой полости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Вскрытие кист, фурункулов носа, глотки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1000 ₽</w:t>
            </w:r>
          </w:p>
        </w:tc>
      </w:tr>
    </w:tbl>
    <w:p w:rsidR="005903AC" w:rsidRDefault="005903AC"/>
    <w:p w:rsidR="005903AC" w:rsidRDefault="005903AC"/>
    <w:p w:rsidR="005903AC" w:rsidRDefault="005903AC"/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7632"/>
        <w:gridCol w:w="975"/>
      </w:tblGrid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Аллергодиагностика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Цена (руб.)</w:t>
            </w:r>
          </w:p>
        </w:tc>
      </w:tr>
      <w:tr w:rsidR="005903AC" w:rsidRPr="005903AC" w:rsidTr="005903AC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Иммуноферментное определение  </w:t>
            </w:r>
            <w:proofErr w:type="spellStart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IgE</w:t>
            </w:r>
            <w:proofErr w:type="spellEnd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 – антител к аллергенам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Иммуноферментное определение уровня общего </w:t>
            </w:r>
            <w:proofErr w:type="spellStart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IgE</w:t>
            </w:r>
            <w:proofErr w:type="spellEnd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 сыворотке  крови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  <w:proofErr w:type="spellStart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Скининг</w:t>
            </w:r>
            <w:proofErr w:type="spellEnd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 грибковых аллергенов</w:t>
            </w: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  <w:proofErr w:type="spellStart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IgE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(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Сandida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albicans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Aspergillus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spp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Penicillium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spp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.,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Alternaria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alternata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 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Fuzarium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oxysporum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Rhizopus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nigricans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Mucor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pussilus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Saccharomyces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cerevisiae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900 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  <w:proofErr w:type="spellStart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Скриниг</w:t>
            </w:r>
            <w:proofErr w:type="spellEnd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 бактериальных аллергенов </w:t>
            </w:r>
            <w:proofErr w:type="spellStart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IgE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Str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pnevmoniae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S.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aureus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E.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coli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Neisseria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perflava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Klebsiella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pneumoniae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Branhamella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catarrhalis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Proteus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vulgaris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H.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influenzae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900 ₽</w:t>
            </w:r>
          </w:p>
        </w:tc>
      </w:tr>
      <w:tr w:rsidR="005903AC" w:rsidRPr="005903AC" w:rsidTr="005903AC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8. Скрининг  </w:t>
            </w:r>
            <w:proofErr w:type="spellStart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IgE</w:t>
            </w:r>
            <w:proofErr w:type="spellEnd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 – антител к аллергенам </w:t>
            </w: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br/>
              <w:t xml:space="preserve"> методом  RIDA ALLERGYSCREEN, </w:t>
            </w:r>
            <w:proofErr w:type="spellStart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ИммуноФА</w:t>
            </w:r>
            <w:proofErr w:type="spellEnd"/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Панель №1- смешанная</w:t>
            </w: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 (домашняя пыль клещи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D.ptеronyssinus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клещи 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D.farinae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ольха, береза, лещина, смесь трав, рожь-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пыльца,полынь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, подорожник, кошка, собака, лошадь, грибы -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Alternaria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alternata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пищевые: яичный белок,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молоко,арахис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, лесной орех, морковь, пшеничная мука, соевые бобы)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4250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Панель №2 -респираторная </w:t>
            </w: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(домашняя пыль клещи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D.ptеronyssinus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клещи 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D.farinae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ольха, береза, лещина, дуб, смесь трав, рожь-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пыльца,полынь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, подорожник, кошка, собака, лошадь, морская свинка, хомячок, кролик, грибы -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Alternaria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alternata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Penicillium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notatum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Aspergillus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fumigatus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Cladosporium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herbarum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4250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Панель №3- пищевая</w:t>
            </w: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 (яичный белок, молоко, арахис, лесной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орех,грецкий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орех, миндальный орех, молоко, казеин, картофель, сельдерей, морковь, томаты, треска,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краб,апельсин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яблоко,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ржанная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мука, пшеничная мука, кунжутное семя, соевые бобы)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4250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Панель №4 педиатрическая</w:t>
            </w: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:(домашняя пыль клещи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D.ptеronyssinus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клещи 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D.farinae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береза,смесь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трав, кошка, собака,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Alternaria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alternata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яичный белок, яичный желток, бычий сывороточный альбумин, молоко, альфа-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лактоальбумин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бета-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лактоальбумин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, арахис, лесной орех, казеин, картофель, морковь, пшеничная мука, соевые бобы)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4250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ИммуноФА</w:t>
            </w:r>
            <w:proofErr w:type="spellEnd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IgE</w:t>
            </w:r>
            <w:proofErr w:type="spellEnd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cкрининг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 (26 аллергенов: клещи дом. пыли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D.ptеronyssinus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 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D.farinae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эпидермис и шерсть кошки, эпидермис и шерсть собаки, таракан,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кандида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альтернария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аспергиллиус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, береза, ежа, тимофеевка, полынь, амброзия, одуванчик, треска, креветки, белок и желток куриного яйца, молоко коровье, лесной орех, арахис, соя, морковь, апельсин, клубника, пшеничная  мука, томат)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2800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ИммуноФА</w:t>
            </w:r>
            <w:proofErr w:type="spellEnd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IgE</w:t>
            </w:r>
            <w:proofErr w:type="spellEnd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</w:t>
            </w: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ингаляционная панель</w:t>
            </w: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дополнительная (</w:t>
            </w: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13 аллергенов: лещина, дуб, рожь, крапива, марь белая, перо куриное, эпидермис и </w:t>
            </w: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 xml:space="preserve">шерсть морской свинки, хомяка, кролика и крысы,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пенициллиум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кладоспориум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, домашняя пыль)</w:t>
            </w:r>
          </w:p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1685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ИммуноФА</w:t>
            </w:r>
            <w:proofErr w:type="spellEnd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IgE</w:t>
            </w:r>
            <w:proofErr w:type="spellEnd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 пищевая панель</w:t>
            </w: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дополнительная </w:t>
            </w: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(13 аллергенов: лосось, курица, говядина, свинина, рис, ржаная мука, овес, картофель, сельдерей, капуста, яблоко, банан, шоколад/какао)</w:t>
            </w:r>
          </w:p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1685 ₽</w:t>
            </w:r>
          </w:p>
        </w:tc>
      </w:tr>
      <w:tr w:rsidR="005903AC" w:rsidRPr="005903AC" w:rsidTr="005903AC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9. IMMUNOCAP: новый мировой стандарт в диагностике аллергии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Общий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IgE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Определение специфических </w:t>
            </w:r>
            <w:proofErr w:type="spellStart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IgE</w:t>
            </w:r>
            <w:proofErr w:type="spellEnd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 антител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Фадиотоп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детский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Фадиотоп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1800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Пищевые аллергены</w:t>
            </w:r>
          </w:p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смеси аллергенов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Смесь пищевых продуктов (пшеница, овес, кукуруза, кунжутное семя, гречиха)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1800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Смесь пищевых продуктов (рыба, креветка, синяя мидия, тунец, лосось)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1800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Смесь пищевых продуктов (яичный белок, молоко, рыба, пшеница, арахис, соя)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1800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Смесь пищевых продуктов (арахис, фундук, американский орех, миндаль, кокосовый орех)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1800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индивидуальные аллергены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Овомукоид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яйца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Овальбумин яйца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Кональбумин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куриного яйца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Лизоцим куриного яйца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Гречиха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Пшеница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Яичный белок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Молоко коровье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Молоко козье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Говядина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Мясо индейки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Курица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Рыба (треска)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Фундук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Арахис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Соя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Яблоко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Морковь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  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Банан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Капуста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Какао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Кукуруза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Дыня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Помидор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Баклажан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Сельдь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Скумбрия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Баранина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Свинина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Персик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Апельсин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Кофе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Ваниль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Паприка, сладкий перец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Ингаляционные  </w:t>
            </w:r>
            <w:proofErr w:type="spellStart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алллергены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смеси аллергенов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Смесь пыльцы деревьев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1800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Смесь пыльцы сорной травы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1800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Смесь пыльцы злаковых трав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1800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Смесь грибковых аллергенов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1800  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Смесь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эпидермальных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аллергенов (перхоть кошки, перхоть собаки, эпителий морской свинки, крыса, мышь)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1800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Смесь домашней пыли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1800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индивидуальные аллергены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Амброзия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Полынь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Тимофеевка луговая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Береза бородавчатая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Тополь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Ольха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Лещина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Дуб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Ясень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Сосна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Одуванчик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Подорожник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Лебеда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Подсолнечник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Ромашка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Марь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Крапива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Рожь пыльца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Клещи</w:t>
            </w:r>
            <w:r w:rsidRPr="005903AC">
              <w:rPr>
                <w:rFonts w:ascii="inherit" w:eastAsia="Times New Roman" w:hAnsi="inherit" w:cs="Helvetica"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5903AC">
              <w:rPr>
                <w:rFonts w:ascii="inherit" w:eastAsia="Times New Roman" w:hAnsi="inherit" w:cs="Helvetica"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Dermatophagoides</w:t>
            </w:r>
            <w:proofErr w:type="spellEnd"/>
            <w:r w:rsidRPr="005903AC">
              <w:rPr>
                <w:rFonts w:ascii="inherit" w:eastAsia="Times New Roman" w:hAnsi="inherit" w:cs="Helvetica"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inherit" w:eastAsia="Times New Roman" w:hAnsi="inherit" w:cs="Helvetica"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pteronyssinus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Клещи</w:t>
            </w:r>
            <w:r w:rsidRPr="005903AC">
              <w:rPr>
                <w:rFonts w:ascii="inherit" w:eastAsia="Times New Roman" w:hAnsi="inherit" w:cs="Helvetica"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5903AC">
              <w:rPr>
                <w:rFonts w:ascii="inherit" w:eastAsia="Times New Roman" w:hAnsi="inherit" w:cs="Helvetica"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Dermatophagoides</w:t>
            </w:r>
            <w:proofErr w:type="spellEnd"/>
            <w:r w:rsidRPr="005903AC">
              <w:rPr>
                <w:rFonts w:ascii="inherit" w:eastAsia="Times New Roman" w:hAnsi="inherit" w:cs="Helvetica"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inherit" w:eastAsia="Times New Roman" w:hAnsi="inherit" w:cs="Helvetica"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farinae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Волнистый попугайчик, помет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Волнистый попугайчик , перья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Собака, эпителий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Кошка, эпителий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Морская свинка, эпителий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Хомяк, эпителий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Овца, эпителий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Кролик, эпителий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Грибы</w:t>
            </w:r>
            <w:r w:rsidRPr="005903AC">
              <w:rPr>
                <w:rFonts w:ascii="inherit" w:eastAsia="Times New Roman" w:hAnsi="inherit" w:cs="Helvetica"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5903AC">
              <w:rPr>
                <w:rFonts w:ascii="inherit" w:eastAsia="Times New Roman" w:hAnsi="inherit" w:cs="Helvetica"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Cladosporium</w:t>
            </w:r>
            <w:proofErr w:type="spellEnd"/>
            <w:r w:rsidRPr="005903AC">
              <w:rPr>
                <w:rFonts w:ascii="inherit" w:eastAsia="Times New Roman" w:hAnsi="inherit" w:cs="Helvetica"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inherit" w:eastAsia="Times New Roman" w:hAnsi="inherit" w:cs="Helvetica"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herbarum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Грибы</w:t>
            </w:r>
            <w:r w:rsidRPr="005903AC">
              <w:rPr>
                <w:rFonts w:ascii="inherit" w:eastAsia="Times New Roman" w:hAnsi="inherit" w:cs="Helvetica"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5903AC">
              <w:rPr>
                <w:rFonts w:ascii="inherit" w:eastAsia="Times New Roman" w:hAnsi="inherit" w:cs="Helvetica"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Alternaria</w:t>
            </w:r>
            <w:proofErr w:type="spellEnd"/>
            <w:r w:rsidRPr="005903AC">
              <w:rPr>
                <w:rFonts w:ascii="inherit" w:eastAsia="Times New Roman" w:hAnsi="inherit" w:cs="Helvetica"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inherit" w:eastAsia="Times New Roman" w:hAnsi="inherit" w:cs="Helvetica"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alternata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Грибы</w:t>
            </w:r>
            <w:r w:rsidRPr="005903AC">
              <w:rPr>
                <w:rFonts w:ascii="inherit" w:eastAsia="Times New Roman" w:hAnsi="inherit" w:cs="Helvetica"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5903AC">
              <w:rPr>
                <w:rFonts w:ascii="inherit" w:eastAsia="Times New Roman" w:hAnsi="inherit" w:cs="Helvetica"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Aspergillus</w:t>
            </w:r>
            <w:proofErr w:type="spellEnd"/>
            <w:r w:rsidRPr="005903AC">
              <w:rPr>
                <w:rFonts w:ascii="inherit" w:eastAsia="Times New Roman" w:hAnsi="inherit" w:cs="Helvetica"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inherit" w:eastAsia="Times New Roman" w:hAnsi="inherit" w:cs="Helvetica"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fumigatus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Грибы </w:t>
            </w:r>
            <w:proofErr w:type="spellStart"/>
            <w:r w:rsidRPr="005903AC">
              <w:rPr>
                <w:rFonts w:ascii="inherit" w:eastAsia="Times New Roman" w:hAnsi="inherit" w:cs="Helvetica"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Penicillium</w:t>
            </w:r>
            <w:proofErr w:type="spellEnd"/>
            <w:r w:rsidRPr="005903AC">
              <w:rPr>
                <w:rFonts w:ascii="inherit" w:eastAsia="Times New Roman" w:hAnsi="inherit" w:cs="Helvetica"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inherit" w:eastAsia="Times New Roman" w:hAnsi="inherit" w:cs="Helvetica"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notatum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inherit" w:eastAsia="Times New Roman" w:hAnsi="inherit" w:cs="Helvetica"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ПенициллинG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inherit" w:eastAsia="Times New Roman" w:hAnsi="inherit" w:cs="Helvetica"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ПенициллинV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Ампициллин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Стафилококковый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энтеротоксин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Стафилококковый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энтеротоксин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Комар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Яд пчелы домашней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Яд осы обыкновенной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Латекс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Комплексные исследования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Аллерго</w:t>
            </w:r>
            <w:proofErr w:type="spellEnd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-микрочип диагностика</w:t>
            </w: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(ISAC),</w:t>
            </w:r>
          </w:p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 112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аллергокомпонентов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23000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Панель "Поллиноз-молекулярная диагностика"</w:t>
            </w: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 (главный аллерген деревьев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rBet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v1, минорный аллерген деревьев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rBet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v2/v4, главный аллерген трав rPhlp1/p5b, минорный аллерген трав rPhlp7/p</w:t>
            </w:r>
            <w:proofErr w:type="gram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12,  главный</w:t>
            </w:r>
            <w:proofErr w:type="gram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аллерген полыни rArtv1, rArtv3LTP)</w:t>
            </w:r>
          </w:p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9000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Панель "Ингаляционная"</w:t>
            </w: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 (полынь, тимофеевка, береза, ольха, клещи D.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pteronyssinus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клещи D.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farinae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собака, кошка, грибы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Alternaria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грибы 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Cladosporium</w:t>
            </w:r>
            <w:proofErr w:type="spellEnd"/>
            <w:proofErr w:type="gram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грибы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Aspergillus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8800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Панель "Экзема"</w:t>
            </w: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 (яичный белок, коровье молоко, рыба, пшеница, соя, клещи D.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pteronyssinus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клещи D.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farinae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кошка, собака, грибы смесь,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стаф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энтеротоксин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8800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Панель "Пищевая молоко/мясо"</w:t>
            </w: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(молоко коровье, молоко козье, яйцо, индейка, курица, говядина)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5100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Панель "Пищевая крупы"</w:t>
            </w: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(овес, рис, гречиха, пшеница, соя)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4250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Панель "Пищевая овощи/фрукты"</w:t>
            </w: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(цветная капуста, капуста, картофель, яблоко, банан)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4250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Панель 8 аллергенов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6800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Панель "Молоко" </w:t>
            </w: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(молоко коровье, альфа-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лактальбумин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, бета-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лактоглобулин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, казеин молока, молоко козье)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4250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Панель "Яйцо" </w:t>
            </w: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(яичный белок, яичный желток,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nGal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d 1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овомукоид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яйца,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nGal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d 2 овальбумин яйца,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nGal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d 3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кональбумин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яйца,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nGal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d 4 лизоцим яйца)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5100 ₽</w:t>
            </w:r>
          </w:p>
        </w:tc>
      </w:tr>
      <w:tr w:rsidR="005903AC" w:rsidRPr="005903AC" w:rsidTr="005903AC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Рекомбинантные аллергены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Береза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rBet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v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Береза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rBet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v2/v4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Тимофеевка луговая rPhlp1/p5b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Тимофеевка луговая rPhlp7/p12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903AC" w:rsidRPr="005903AC" w:rsidTr="005903AC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Определение специфических IgG4 антител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Полынь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Тимофеевка луговая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Береза бородавчатая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Клещи</w:t>
            </w:r>
            <w:r w:rsidRPr="005903AC">
              <w:rPr>
                <w:rFonts w:ascii="inherit" w:eastAsia="Times New Roman" w:hAnsi="inherit" w:cs="Helvetica"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5903AC">
              <w:rPr>
                <w:rFonts w:ascii="inherit" w:eastAsia="Times New Roman" w:hAnsi="inherit" w:cs="Helvetica"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Dermatophagoides</w:t>
            </w:r>
            <w:proofErr w:type="spellEnd"/>
            <w:r w:rsidRPr="005903AC">
              <w:rPr>
                <w:rFonts w:ascii="inherit" w:eastAsia="Times New Roman" w:hAnsi="inherit" w:cs="Helvetica"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inherit" w:eastAsia="Times New Roman" w:hAnsi="inherit" w:cs="Helvetica"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pteronyssinus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Клещи</w:t>
            </w:r>
            <w:r w:rsidRPr="005903AC">
              <w:rPr>
                <w:rFonts w:ascii="inherit" w:eastAsia="Times New Roman" w:hAnsi="inherit" w:cs="Helvetica"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5903AC">
              <w:rPr>
                <w:rFonts w:ascii="inherit" w:eastAsia="Times New Roman" w:hAnsi="inherit" w:cs="Helvetica"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Dermatophagoides</w:t>
            </w:r>
            <w:proofErr w:type="spellEnd"/>
            <w:r w:rsidRPr="005903AC">
              <w:rPr>
                <w:rFonts w:ascii="inherit" w:eastAsia="Times New Roman" w:hAnsi="inherit" w:cs="Helvetica"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inherit" w:eastAsia="Times New Roman" w:hAnsi="inherit" w:cs="Helvetica"/>
                <w:i/>
                <w:iCs/>
                <w:color w:val="444444"/>
                <w:sz w:val="21"/>
                <w:szCs w:val="21"/>
                <w:bdr w:val="none" w:sz="0" w:space="0" w:color="auto" w:frame="1"/>
                <w:lang w:eastAsia="ru-RU"/>
              </w:rPr>
              <w:t>farinae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2000 ₽</w:t>
            </w:r>
          </w:p>
        </w:tc>
      </w:tr>
      <w:tr w:rsidR="005903AC" w:rsidRPr="005903AC" w:rsidTr="005903AC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  <w:p w:rsidR="005903AC" w:rsidRPr="005903AC" w:rsidRDefault="005903AC" w:rsidP="005903A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10. Определение непереносимости пищевых продуктов</w:t>
            </w:r>
          </w:p>
          <w:p w:rsidR="005903AC" w:rsidRPr="005903AC" w:rsidRDefault="005903AC" w:rsidP="005903A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( ИФА-  </w:t>
            </w:r>
            <w:proofErr w:type="spellStart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IgG</w:t>
            </w:r>
            <w:proofErr w:type="spellEnd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 4- АТ)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Пищевая панель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Dr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Fooke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(88 моно и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миксантигенов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15000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G1 Скрининг пищевых антигенов</w:t>
            </w: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 ( говядина, телятина,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свинина,баранина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кролик, курица, индейка, утка)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Dr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Fooke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2500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G2 Скрининг пищевых антигенов </w:t>
            </w: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(молоко коровье, α-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лактальбумин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β-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лактоглобулин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, йогурт, молоко козье,  белок  куриного яйца, желток куриного яйца)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Dr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Fooke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2500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G3 Скрининг пищевых антигенов</w:t>
            </w: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 (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глютен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пшеница, гречка, рис, овес,  ржаная крупа, кукуруза, соя)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Dr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Fooke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2500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G4 Скрининг пищевых антигенов </w:t>
            </w: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(картофель, помидор, огурец, баклажан, кабачок, морковь, свекла, капуста белая)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Dr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Fooke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2500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ИммуноФА</w:t>
            </w:r>
            <w:proofErr w:type="spellEnd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IgG</w:t>
            </w:r>
            <w:proofErr w:type="spellEnd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  скрининг</w:t>
            </w: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(26 антигенов:  треска, креветки, белок и желток куриного яйца, молоко коровье, лесной орех, арахис, соя, морковь, апельсин, клубника, пшеничная мука, томат, лосось, курица,  говядина, свинина, рис, ржаная мука, овес, картофель, сельдерей, капуста, яблоко, банан, шоколад/какао)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2800 ₽</w:t>
            </w:r>
          </w:p>
        </w:tc>
      </w:tr>
      <w:tr w:rsidR="005903AC" w:rsidRPr="005903AC" w:rsidTr="005903AC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11.  Лекарственная  аллергия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1101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Определение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IgE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-антител к препаратам методом ИФА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480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Определение лекарственной аллергии по тесту альтерации лейкоцитов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430 ₽</w:t>
            </w:r>
          </w:p>
        </w:tc>
      </w:tr>
    </w:tbl>
    <w:p w:rsidR="005903AC" w:rsidRDefault="005903AC"/>
    <w:p w:rsidR="005903AC" w:rsidRDefault="005903AC"/>
    <w:p w:rsidR="005903AC" w:rsidRDefault="005903AC"/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7553"/>
        <w:gridCol w:w="1158"/>
      </w:tblGrid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Лабораторная 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Цена (руб.)</w:t>
            </w:r>
          </w:p>
        </w:tc>
      </w:tr>
      <w:tr w:rsidR="005903AC" w:rsidRPr="005903AC" w:rsidTr="005903AC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Клинические исследования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Клинический анализ крови (общий + лейкоцитарная формула +СОЭ)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530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Цитология назального секрета, мокроты за каждый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515 ₽</w:t>
            </w:r>
          </w:p>
        </w:tc>
      </w:tr>
      <w:tr w:rsidR="005903AC" w:rsidRPr="005903AC" w:rsidTr="005903AC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Биохимический анализ крови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Общий белок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185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Альбумин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215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Креатинин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220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Мочевина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230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Холестерол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230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Холестерин - ЛПНП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270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Холестерин - ЛПВП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280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Триглицериды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230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Глюкоза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170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Аланинаминотрансфераза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АлАТ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180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Аспартатаминотрансфераза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АсАТ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185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Амилаза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280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Лактатдегидрогеназа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(ЛДГ)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185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Креатинкиназа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210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Фосфатаза щелочная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220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Билирубин общий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185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Билирубин прямой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210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Кальций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280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Фосфор неорганический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285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Мочевая кислота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190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Железо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280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Печеночные пробы</w:t>
            </w: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  <w:proofErr w:type="gram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( АЛТ</w:t>
            </w:r>
            <w:proofErr w:type="gram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, АСТ, билирубин общий, щелочная фосфатаза, ЛДГ)</w:t>
            </w:r>
          </w:p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970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Почечные пробы</w:t>
            </w: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 (мочевина, мочевая к-та,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креатинин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, общ. белок, альбумин)</w:t>
            </w:r>
          </w:p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970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Липидный обмен</w:t>
            </w: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 (триглицериды, холестерин, ЛПВП, ЛПНП, индекс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атерогенности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970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Сердечно-сосудистая система</w:t>
            </w: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(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креатинин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, ЛДГ, АСТ, АЛТ)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850 ₽</w:t>
            </w:r>
          </w:p>
        </w:tc>
      </w:tr>
      <w:tr w:rsidR="005903AC" w:rsidRPr="005903AC" w:rsidTr="005903AC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Ревмопробы</w:t>
            </w:r>
            <w:proofErr w:type="spellEnd"/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Ревматоидный фактор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530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 реактивный белок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530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Антистрептолизин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-о (АСЛ-о)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530 ₽</w:t>
            </w:r>
          </w:p>
        </w:tc>
      </w:tr>
      <w:tr w:rsidR="005903AC" w:rsidRPr="005903AC" w:rsidTr="005903AC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Гормоны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Тиреотропный гормон (ТТГ)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Тироксин свободный (Т4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св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Трийодтиронин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(Т3)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Тиреоглобулин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(ТГ)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575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Антитела к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тиреоглобулину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Ат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к ТГ)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Антитела к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пероксидазе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щитовидной железы (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Ат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к ТПО)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575 ₽</w:t>
            </w:r>
          </w:p>
        </w:tc>
      </w:tr>
    </w:tbl>
    <w:p w:rsidR="005903AC" w:rsidRDefault="005903AC"/>
    <w:p w:rsidR="005903AC" w:rsidRDefault="005903AC"/>
    <w:p w:rsidR="005903AC" w:rsidRDefault="005903AC"/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7630"/>
        <w:gridCol w:w="977"/>
      </w:tblGrid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Иммунодиагностика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Цена (руб.)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1201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Определение уровней иммуноглобулинов сыворотки крови (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IgG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IgM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IgA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) методом радиальной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иммунодиффузии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агаре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 Определение уровня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субпопуляций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лимфоцитов по маркерам CD3, CD4, CD8, CD16, CD72 методом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цитометрии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с использованием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моноклональных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антител.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2500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Определение уровня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субпопуляций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лимфоцитов по маркерам HLADR, CD21, CD23, CD25, CD38, CD34, CD95 методом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цитометрии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с использованием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моноклональных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антител за каждый.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300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Определение уровня фагоцитарной активности  по тесту восстановления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нитросинего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тетразолия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 (НСТ-тест) и поглощению культуры стафилококков.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Определение ЦИК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Интерфероновый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статус без определения чувствительности к препаратам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Определение чувствительности к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иммунотропным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препаратам  за каждый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250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Определение нейтрализующих антител к длительно применяемым препаратам интерферона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985 ₽</w:t>
            </w:r>
          </w:p>
        </w:tc>
      </w:tr>
      <w:tr w:rsidR="005903AC" w:rsidRPr="005903AC" w:rsidTr="005903AC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13.  </w:t>
            </w:r>
            <w:proofErr w:type="spellStart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Аутоиммунология</w:t>
            </w:r>
            <w:proofErr w:type="spellEnd"/>
          </w:p>
        </w:tc>
      </w:tr>
      <w:tr w:rsidR="005903AC" w:rsidRPr="005903AC" w:rsidTr="005903AC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</w:p>
        </w:tc>
      </w:tr>
      <w:tr w:rsidR="005903AC" w:rsidRPr="005903AC" w:rsidTr="005903AC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Диагностика </w:t>
            </w:r>
            <w:proofErr w:type="spellStart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целиакии</w:t>
            </w:r>
            <w:proofErr w:type="spellEnd"/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Иммуноферментное определение 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IgG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 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IgА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  антител к тканевой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трансглутаминазе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(за каждый)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1400 ₽</w:t>
            </w:r>
          </w:p>
        </w:tc>
      </w:tr>
      <w:tr w:rsidR="005903AC" w:rsidRPr="005903AC" w:rsidTr="005903AC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14. Определение специфических антител РПГА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 дифтерийному анатоксину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620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1402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 столбнячному анатоксину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620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 коклюшному  антигену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620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паракоклюшному антигену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620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 коревому антигену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620 ₽</w:t>
            </w:r>
          </w:p>
        </w:tc>
      </w:tr>
      <w:tr w:rsidR="005903AC" w:rsidRPr="005903AC" w:rsidTr="005903AC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15. Определение </w:t>
            </w:r>
            <w:proofErr w:type="gramStart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титра  </w:t>
            </w:r>
            <w:proofErr w:type="spellStart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IgG</w:t>
            </w:r>
            <w:proofErr w:type="spellEnd"/>
            <w:proofErr w:type="gramEnd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 – антител  к антигенам гельминтов</w:t>
            </w:r>
          </w:p>
          <w:p w:rsidR="005903AC" w:rsidRPr="005903AC" w:rsidRDefault="005903AC" w:rsidP="005903A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ИФА методом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Лямблии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Токсокары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890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Описторхи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870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Эхинококки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890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Трихинеллы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910 ₽</w:t>
            </w:r>
          </w:p>
        </w:tc>
      </w:tr>
      <w:tr w:rsidR="005903AC" w:rsidRPr="005903AC" w:rsidTr="005903AC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16. Диагностика </w:t>
            </w:r>
            <w:proofErr w:type="spellStart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хеликобактерной</w:t>
            </w:r>
            <w:proofErr w:type="spellEnd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 xml:space="preserve"> инфекции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Определение специфических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IgG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  антител к антигенам  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Helicobacter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pylori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600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1602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Дыхательный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уреазный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тест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650 ₽</w:t>
            </w:r>
          </w:p>
        </w:tc>
      </w:tr>
    </w:tbl>
    <w:p w:rsidR="005903AC" w:rsidRDefault="005903AC"/>
    <w:p w:rsidR="005903AC" w:rsidRDefault="005903AC"/>
    <w:p w:rsidR="005903AC" w:rsidRDefault="005903AC"/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7689"/>
        <w:gridCol w:w="918"/>
      </w:tblGrid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Вирусологические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Цена (руб.)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Вирус простого герпеса I и II типа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Вирус простого герпеса (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Herpes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simplex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virus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HSV) I  типа, определение антител класса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IgМ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960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1702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Вирус простого герпеса (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Herpes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simplex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virus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HSV) I типа, определение антител класса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930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Вирус простого герпеса (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Herpes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simplex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virus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HSV)   II типа, определение антител класса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IgМ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960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Вирус простого герпеса (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Herpes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simplex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virus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HSV) II типа,  определение антител класса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930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1705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Вирус герпеса VI типа (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Human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herpes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virus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),     определение антител класса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930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1706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Вирус герпеса VIII типа (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Human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herpes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virus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), определение антител класса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930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Цитомегаловирус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Цитомегаловирус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Cytomegalovirus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CMV), определение антител класса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IgM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960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1708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Цитомегаловирус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Cytomegalovirus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CMV), количественное определение антител класса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930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Вирус краснухи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Вирус краснухи (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Rubella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), определение антител класса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IgМ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960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Вирус краснухи (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Rubella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), определение антител класса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930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Вирус ветряной оспы - опоясывающего  лишая (</w:t>
            </w:r>
            <w:proofErr w:type="spellStart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Варицелла-Зостер</w:t>
            </w:r>
            <w:proofErr w:type="spellEnd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1711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Вирус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Варицелла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Зостер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Varicella-Zoster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virus,VZV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), определение антител класса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IgМ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960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1712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Вирус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Варицелла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–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Зостер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Varicella-Zoster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virus,VZV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), полуколичественное определение антител класса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930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Вирус Эпштейна-</w:t>
            </w:r>
            <w:proofErr w:type="spellStart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Барр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Вирус Эпштейна-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Барр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Epstein-Barr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virus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EBV), определение антител класса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IgМ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к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капсидному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антигену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960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Вирус Эпштейна-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Барр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Epstein-Barr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virus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EBV), определение антител класса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IgG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к раннему антигену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930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1717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Вирус Эпштейна-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Барр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Epstein-Barr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virus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EBV), определение антител класса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IgG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к ядерному антигену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930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Вирус кори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Вирус кори (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Measles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), определение антител класса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IgМ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Вирус кори (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Measles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), определение антител класса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Парвовирус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Парвовирус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B19, определение антител класса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IgМ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Парвовирус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B19, определение антител класса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950 ₽</w:t>
            </w:r>
          </w:p>
        </w:tc>
      </w:tr>
      <w:tr w:rsidR="005903AC" w:rsidRPr="005903AC" w:rsidTr="005903AC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18.  Оппортунистические инфекции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Хламидии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1801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Возбудитель хламидиоза (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Chlamydia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trachomatis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), определение антител класса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670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Возбудитель хламидиоза (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Chlamydia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pneumonia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psittaci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), определение антител класса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660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Микоплазмы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Возбудитель микоплазмоза (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Mycoplasma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hominis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), определение антител класса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Возбудитель микоплазмоза (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Mycoplasma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pneumonia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), определение антител класса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IgМ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Возбудитель микоплазмоза (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Mycoplasma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pneumonia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), количественно определение антител класса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proofErr w:type="spellStart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Уреаплазма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Возбудитель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уреаплазмоза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Ureaplasma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urealyticum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), определение антител класса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Токсоплазмоз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Возбудитель токсоплазмоза, определение антител класса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IgМ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Возбудитель токсоплазмоза, определение антител класса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660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Кандидоз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Возбудитель кандидоза (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Candida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albicans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), определение антител класса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IgG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650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noWrap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Скрининг </w:t>
            </w:r>
            <w:proofErr w:type="spellStart"/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IgG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</w:t>
            </w:r>
            <w:r w:rsidRPr="005903AC">
              <w:rPr>
                <w:rFonts w:ascii="inherit" w:eastAsia="Times New Roman" w:hAnsi="inherit" w:cs="Helvetica"/>
                <w:b/>
                <w:bCs/>
                <w:color w:val="333333"/>
                <w:sz w:val="21"/>
                <w:szCs w:val="21"/>
                <w:bdr w:val="none" w:sz="0" w:space="0" w:color="auto" w:frame="1"/>
                <w:lang w:eastAsia="ru-RU"/>
              </w:rPr>
              <w:t>антител к бактериальным антигенам</w:t>
            </w: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 (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Str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pnevmoniae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S.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aureus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E.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coli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Neisseria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perflava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Klebsiella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pneumoniae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Branhamella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catarrhalis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Proteus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vulgaris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,   H.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influenzae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jc w:val="center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900 ₽</w:t>
            </w:r>
          </w:p>
        </w:tc>
      </w:tr>
    </w:tbl>
    <w:p w:rsidR="005903AC" w:rsidRDefault="005903AC"/>
    <w:p w:rsidR="005903AC" w:rsidRDefault="005903AC"/>
    <w:p w:rsidR="005903AC" w:rsidRDefault="005903AC"/>
    <w:tbl>
      <w:tblPr>
        <w:tblW w:w="9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0"/>
        <w:gridCol w:w="980"/>
      </w:tblGrid>
      <w:tr w:rsidR="005903AC" w:rsidRPr="005903AC" w:rsidTr="005903AC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  <w:t>Бактериологические исследования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inherit" w:eastAsia="Times New Roman" w:hAnsi="inherit" w:cs="Helvetica"/>
                <w:b/>
                <w:bCs/>
                <w:color w:val="444444"/>
                <w:sz w:val="21"/>
                <w:szCs w:val="21"/>
                <w:lang w:eastAsia="ru-RU"/>
              </w:rPr>
              <w:t>Цена (руб.)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Бактериологическая диагностика дисбактериоза кишечника с определением чувствительности к фагам(к антибиотикам – по рекомендации врача)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1540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Бактериологическое исследование флоры  носа и  зева с определением чувствительности к антибиотикам и фагам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1760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Бактериологическое исследование флоры зева с определением чувствительности к антибиотикам и фагам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1280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Бактериологическое исследование флоры носа с определением чувствительности к антибиотикам и фагам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830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Бактериологическое исследование флоры уха одностороннее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745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Бактериологическое исследование флоры уха двустороннее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1250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Бактериологическое исследование мокроты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1490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Бактериологическое исследование мочи</w:t>
            </w: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br/>
              <w:t>определением чувствительности к антибиотикам и фагам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745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Бактериологическое исследование отделяемого ран, свищи, пустулы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975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Бактериологическое исследование грудного молока одностороннее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745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Бактериологическое исследование грудного молока двустороннее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1250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Бактериологическое исследование микрофлоры влагалища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1490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lastRenderedPageBreak/>
              <w:t>Исследование кокковой микрофлоры кожи с определением чувствительности к 22 антибиотикам и антисептикам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830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 xml:space="preserve">Исследование грибковой (дрожжевой и </w:t>
            </w:r>
            <w:proofErr w:type="spellStart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мицелиальной</w:t>
            </w:r>
            <w:proofErr w:type="spellEnd"/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) микрофлоры кожи с определением чувствительности к 12 противогрибковым препаратам и антисептикам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750 ₽</w:t>
            </w:r>
          </w:p>
        </w:tc>
      </w:tr>
      <w:tr w:rsidR="005903AC" w:rsidRPr="005903AC" w:rsidTr="005903AC"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0" w:type="dxa"/>
              <w:bottom w:w="180" w:type="dxa"/>
              <w:right w:w="225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Микроскопическое исследование ногтевых пластинок и кожных чешуй на бактериальную и грибную микрофлору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1E1E1"/>
              <w:right w:val="nil"/>
            </w:tcBorders>
            <w:shd w:val="clear" w:color="auto" w:fill="FFFFFF"/>
            <w:tcMar>
              <w:top w:w="180" w:type="dxa"/>
              <w:left w:w="225" w:type="dxa"/>
              <w:bottom w:w="180" w:type="dxa"/>
              <w:right w:w="0" w:type="dxa"/>
            </w:tcMar>
            <w:vAlign w:val="bottom"/>
            <w:hideMark/>
          </w:tcPr>
          <w:p w:rsidR="005903AC" w:rsidRPr="005903AC" w:rsidRDefault="005903AC" w:rsidP="005903AC">
            <w:pPr>
              <w:spacing w:after="300" w:line="240" w:lineRule="auto"/>
              <w:textAlignment w:val="baseline"/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</w:pPr>
            <w:r w:rsidRPr="005903AC">
              <w:rPr>
                <w:rFonts w:ascii="Helvetica" w:eastAsia="Times New Roman" w:hAnsi="Helvetica" w:cs="Helvetica"/>
                <w:color w:val="444444"/>
                <w:sz w:val="21"/>
                <w:szCs w:val="21"/>
                <w:lang w:eastAsia="ru-RU"/>
              </w:rPr>
              <w:t>810 ₽</w:t>
            </w:r>
          </w:p>
        </w:tc>
      </w:tr>
    </w:tbl>
    <w:p w:rsidR="005903AC" w:rsidRDefault="005903AC">
      <w:bookmarkStart w:id="0" w:name="_GoBack"/>
      <w:bookmarkEnd w:id="0"/>
    </w:p>
    <w:sectPr w:rsidR="0059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DC"/>
    <w:rsid w:val="005903AC"/>
    <w:rsid w:val="006723EF"/>
    <w:rsid w:val="00AB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B749"/>
  <w15:chartTrackingRefBased/>
  <w15:docId w15:val="{47F3AAD9-A72A-4322-B457-9D364D1F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903AC"/>
    <w:rPr>
      <w:i/>
      <w:iCs/>
    </w:rPr>
  </w:style>
  <w:style w:type="paragraph" w:styleId="a4">
    <w:name w:val="Normal (Web)"/>
    <w:basedOn w:val="a"/>
    <w:uiPriority w:val="99"/>
    <w:semiHidden/>
    <w:unhideWhenUsed/>
    <w:rsid w:val="0059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0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3089</Words>
  <Characters>17610</Characters>
  <Application>Microsoft Office Word</Application>
  <DocSecurity>0</DocSecurity>
  <Lines>146</Lines>
  <Paragraphs>41</Paragraphs>
  <ScaleCrop>false</ScaleCrop>
  <Company/>
  <LinksUpToDate>false</LinksUpToDate>
  <CharactersWithSpaces>20658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2019-05-20T12:05:00Z</dcterms:created>
  <dcterms:modified xsi:type="dcterms:W3CDTF">2019-05-20T12:07:00Z</dcterms:modified>
</cp:coreProperties>
</file>