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2D" w:rsidRDefault="00B8622D" w:rsidP="00B8622D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Порядок госпитализации в стационар</w:t>
      </w:r>
    </w:p>
    <w:p w:rsidR="00B8622D" w:rsidRDefault="00B8622D" w:rsidP="00B8622D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Госпитализация плановых больных осуществляется по предварительной записи:</w:t>
      </w:r>
      <w:r>
        <w:rPr>
          <w:rFonts w:ascii="PtSans" w:hAnsi="PtSans"/>
          <w:color w:val="000000"/>
        </w:rPr>
        <w:br/>
        <w:t>• по направлению участкового врача (по телефону, при личном обращении)</w:t>
      </w:r>
      <w:r>
        <w:rPr>
          <w:rFonts w:ascii="PtSans" w:hAnsi="PtSans"/>
          <w:color w:val="000000"/>
        </w:rPr>
        <w:br/>
        <w:t>• по направлению врача консультативной поликлиники БУ «РДКБ»</w:t>
      </w:r>
      <w:r>
        <w:rPr>
          <w:rFonts w:ascii="PtSans" w:hAnsi="PtSans"/>
          <w:color w:val="000000"/>
        </w:rPr>
        <w:br/>
        <w:t>На плановую госпитализацию выдается путевка с датой госпитализации и перечнем необходимых обследований.</w:t>
      </w:r>
      <w:r>
        <w:rPr>
          <w:rFonts w:ascii="PtSans" w:hAnsi="PtSans"/>
          <w:color w:val="000000"/>
        </w:rPr>
        <w:br/>
        <w:t>Госпитализация экстренных больных осуществляется круглосуточно:</w:t>
      </w:r>
      <w:r>
        <w:rPr>
          <w:rFonts w:ascii="PtSans" w:hAnsi="PtSans"/>
          <w:color w:val="000000"/>
        </w:rPr>
        <w:br/>
        <w:t>• при доставке бригадой скорой помощи</w:t>
      </w:r>
      <w:r>
        <w:rPr>
          <w:rFonts w:ascii="PtSans" w:hAnsi="PtSans"/>
          <w:color w:val="000000"/>
        </w:rPr>
        <w:br/>
        <w:t>• при направлении врачом консультативной поликлиники БУ «РДКБ»</w:t>
      </w:r>
      <w:r>
        <w:rPr>
          <w:rFonts w:ascii="PtSans" w:hAnsi="PtSans"/>
          <w:color w:val="000000"/>
        </w:rPr>
        <w:br/>
        <w:t>• при самообращении</w:t>
      </w:r>
    </w:p>
    <w:p w:rsidR="00B8622D" w:rsidRDefault="00B8622D" w:rsidP="00B8622D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При госпитализации обязательно присутствие:</w:t>
      </w:r>
      <w:r>
        <w:rPr>
          <w:rFonts w:ascii="PtSans" w:hAnsi="PtSans"/>
          <w:color w:val="000000"/>
        </w:rPr>
        <w:br/>
        <w:t>• одного из родителей ребенка, который должен иметь с собой паспорт (или другой документ, удостоверяющий личность);</w:t>
      </w:r>
      <w:r>
        <w:rPr>
          <w:rFonts w:ascii="PtSans" w:hAnsi="PtSans"/>
          <w:color w:val="000000"/>
        </w:rPr>
        <w:br/>
        <w:t>• или законного представителя, имеющего соответствующий документ, дающий право представлять интересы ребенка</w:t>
      </w:r>
      <w:r>
        <w:rPr>
          <w:rFonts w:ascii="PtSans" w:hAnsi="PtSans"/>
          <w:color w:val="000000"/>
        </w:rPr>
        <w:br/>
        <w:t>Необходимым предварительным условием медицинского вмешательства является дача письменного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(согласно ст. 20 Федерального закона от 21.11.2011 г. N 323-ФЗ «Об основах охраны здоровья граждан в Российской Федерации»).</w:t>
      </w:r>
    </w:p>
    <w:p w:rsidR="00B8622D" w:rsidRDefault="00B8622D" w:rsidP="00B8622D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Присутствие родителей при стационарном лечении</w:t>
      </w:r>
    </w:p>
    <w:p w:rsidR="00B8622D" w:rsidRDefault="00B8622D" w:rsidP="00B8622D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Для создания благоприятных условий пребывания детей и ухода за ребенком возможно пребывание с ними родителей и (или) иных членов семьи (согласно ст. 6, 7 Федерального закона от 21.11.2011 г. N 323-ФЗ «Об основах охраны здоровья граждан в Российской Федерации»). Мамы детей до 1 года обеспечиваются питанием.</w:t>
      </w:r>
      <w:r>
        <w:rPr>
          <w:rFonts w:ascii="PtSans" w:hAnsi="PtSans"/>
          <w:color w:val="000000"/>
        </w:rPr>
        <w:br/>
        <w:t>При госпитализации родителей по уходу необходимо иметь анализы:</w:t>
      </w:r>
      <w:r>
        <w:rPr>
          <w:rFonts w:ascii="PtSans" w:hAnsi="PtSans"/>
          <w:color w:val="000000"/>
        </w:rPr>
        <w:br/>
        <w:t>1. Анализ крови на RW (действителен 3 мес.)</w:t>
      </w:r>
      <w:r>
        <w:rPr>
          <w:rFonts w:ascii="PtSans" w:hAnsi="PtSans"/>
          <w:color w:val="000000"/>
        </w:rPr>
        <w:br/>
        <w:t>2. Флюорография органов грудной клетки (действителен 1 год)</w:t>
      </w:r>
      <w:r>
        <w:rPr>
          <w:rFonts w:ascii="PtSans" w:hAnsi="PtSans"/>
          <w:color w:val="000000"/>
        </w:rPr>
        <w:br/>
        <w:t>3. При госпитализации с ребенком до 2 лет - анализ кала на кишечную группу</w:t>
      </w:r>
      <w:r>
        <w:rPr>
          <w:rFonts w:ascii="PtSans" w:hAnsi="PtSans"/>
          <w:color w:val="000000"/>
        </w:rPr>
        <w:br/>
        <w:t>В соответствии с приказом Министерства здравоохранения Чувашской Республики от 07.09.2005 г. № 405 «Об утверждении перечня контингентов, подлежащих обследованию на инфекции, передаваемые половым путем, в лечебно-профилактических учреждениях Чувашской Республики и п.9 Постановления Главного государственного санитарного врача РФ от 18 мая 2010г. №58 «Об утверждении СанПин 2.1.3.2630-10 «Санитарно-эпидемиологические требования к организациям, осуществляющим медицинскую деятельность».</w:t>
      </w:r>
    </w:p>
    <w:p w:rsidR="00B8622D" w:rsidRDefault="00B8622D" w:rsidP="00B8622D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При плановой госпитализации пациентам необходимо иметь:</w:t>
      </w:r>
    </w:p>
    <w:p w:rsidR="00B8622D" w:rsidRDefault="00B8622D" w:rsidP="00B8622D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I. Документы</w:t>
      </w:r>
      <w:r>
        <w:rPr>
          <w:rFonts w:ascii="PtSans" w:hAnsi="PtSans"/>
          <w:color w:val="000000"/>
        </w:rPr>
        <w:br/>
        <w:t>1. Номерное направление установленного образца.</w:t>
      </w:r>
      <w:r>
        <w:rPr>
          <w:rFonts w:ascii="PtSans" w:hAnsi="PtSans"/>
          <w:color w:val="000000"/>
        </w:rPr>
        <w:br/>
        <w:t>2. Страховой полис ребенка и его ксерокопия.</w:t>
      </w:r>
      <w:r>
        <w:rPr>
          <w:rFonts w:ascii="PtSans" w:hAnsi="PtSans"/>
          <w:color w:val="000000"/>
        </w:rPr>
        <w:br/>
        <w:t>3. Страховое свидетельство государственного пенсионного страхования (СНИЛС, зеленая пластиковая карта) и его ксерокопия.</w:t>
      </w:r>
      <w:r>
        <w:rPr>
          <w:rFonts w:ascii="PtSans" w:hAnsi="PtSans"/>
          <w:color w:val="000000"/>
        </w:rPr>
        <w:br/>
        <w:t>4. Амбулаторная карта больного.</w:t>
      </w:r>
      <w:r>
        <w:rPr>
          <w:rFonts w:ascii="PtSans" w:hAnsi="PtSans"/>
          <w:color w:val="000000"/>
        </w:rPr>
        <w:br/>
        <w:t>5. Выписка из медицинской карты амбулаторного больного.</w:t>
      </w:r>
      <w:r>
        <w:rPr>
          <w:rFonts w:ascii="PtSans" w:hAnsi="PtSans"/>
          <w:color w:val="000000"/>
        </w:rPr>
        <w:br/>
        <w:t>6. Справка об отсутствии контактов с инфекционными больными по месту жительства за последние 3 недели (справка действительна 3 суток)</w:t>
      </w:r>
      <w:r>
        <w:rPr>
          <w:rFonts w:ascii="PtSans" w:hAnsi="PtSans"/>
          <w:color w:val="000000"/>
        </w:rPr>
        <w:br/>
      </w:r>
      <w:r>
        <w:rPr>
          <w:rFonts w:ascii="PtSans" w:hAnsi="PtSans"/>
          <w:color w:val="000000"/>
        </w:rPr>
        <w:lastRenderedPageBreak/>
        <w:t>7. Справка о профпрививках, результатах реакции Манту.</w:t>
      </w:r>
      <w:r>
        <w:rPr>
          <w:rFonts w:ascii="PtSans" w:hAnsi="PtSans"/>
          <w:color w:val="000000"/>
        </w:rPr>
        <w:br/>
        <w:t>8. Справка врача-дерматолога об отсутствии заразных кожных заболеваний и педикулеза.</w:t>
      </w:r>
      <w:r>
        <w:rPr>
          <w:rFonts w:ascii="PtSans" w:hAnsi="PtSans"/>
          <w:color w:val="000000"/>
        </w:rPr>
        <w:br/>
        <w:t>9. Паспорт (или другой документ, удостоверяющий личность) одного из родителей, или законного представителя, имеющего соответствующий документ, дающий право представлять интересы ребенка.</w:t>
      </w:r>
    </w:p>
    <w:p w:rsidR="00B8622D" w:rsidRDefault="00B8622D" w:rsidP="00B8622D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II. Анализы и результаты исследований</w:t>
      </w:r>
    </w:p>
    <w:p w:rsidR="00B8622D" w:rsidRDefault="00B8622D" w:rsidP="00B8622D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1. Общий анализ крови (действителен 10 дней).</w:t>
      </w:r>
      <w:r>
        <w:rPr>
          <w:rFonts w:ascii="PtSans" w:hAnsi="PtSans"/>
          <w:color w:val="000000"/>
        </w:rPr>
        <w:br/>
        <w:t>2. Общий анализ мочи (действителен 10 дней).</w:t>
      </w:r>
      <w:r>
        <w:rPr>
          <w:rFonts w:ascii="PtSans" w:hAnsi="PtSans"/>
          <w:color w:val="000000"/>
        </w:rPr>
        <w:br/>
        <w:t>3. Кал на яйца глист (действителен 10 дней).</w:t>
      </w:r>
      <w:r>
        <w:rPr>
          <w:rFonts w:ascii="PtSans" w:hAnsi="PtSans"/>
          <w:color w:val="000000"/>
        </w:rPr>
        <w:br/>
        <w:t>4. Соскоб на энтеробиоз (действителен 10 дней).</w:t>
      </w:r>
      <w:r>
        <w:rPr>
          <w:rFonts w:ascii="PtSans" w:hAnsi="PtSans"/>
          <w:color w:val="000000"/>
        </w:rPr>
        <w:br/>
        <w:t>5. Анализ крови на RW экспресс методом (действителен 10 дней), в хирургическое отделение – анализ крови на RW из вены (действителен 3 мес.).</w:t>
      </w:r>
      <w:r>
        <w:rPr>
          <w:rFonts w:ascii="PtSans" w:hAnsi="PtSans"/>
          <w:color w:val="000000"/>
        </w:rPr>
        <w:br/>
        <w:t>6. Для детей до 2-х лет (включительно) анализ кала на кишечную группу (действителен 10 дней).</w:t>
      </w:r>
      <w:r>
        <w:rPr>
          <w:rFonts w:ascii="PtSans" w:hAnsi="PtSans"/>
          <w:color w:val="000000"/>
        </w:rPr>
        <w:br/>
        <w:t>7. Анализ крови на HbSAg, HCV, ВИЧ-инфекцию.</w:t>
      </w:r>
      <w:r>
        <w:rPr>
          <w:rFonts w:ascii="PtSans" w:hAnsi="PtSans"/>
          <w:color w:val="000000"/>
        </w:rPr>
        <w:br/>
        <w:t>8. Флюорография органов грудной клетки детям с 15-летнего возраста.</w:t>
      </w:r>
      <w:r>
        <w:rPr>
          <w:rFonts w:ascii="PtSans" w:hAnsi="PtSans"/>
          <w:color w:val="000000"/>
        </w:rPr>
        <w:br/>
        <w:t>В соответствии с приказом Министерства здравоохранения Чувашской Республики от 07.09.2005 г. № 405 «Об утверждении перечня контингентов, подлежащих обследованию на инфекции, передаваемые половым путем, в лечебно-профилактических учреждениях Чувашской Республики и п.9 Постановления Главного государственного санитарного врача РФ от 18 мая 2010г. №58 «Об утверждении СанПин 2.1.3.2630-10 «Санитарно-эпидемиологические требования к организациям, осуществляющим медицинскую деятельность».</w:t>
      </w:r>
    </w:p>
    <w:p w:rsidR="00B8622D" w:rsidRDefault="00B8622D" w:rsidP="00B8622D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III. Рекомендуемые средства личной гигиены</w:t>
      </w:r>
      <w:r>
        <w:rPr>
          <w:rFonts w:ascii="PtSans" w:hAnsi="PtSans"/>
          <w:color w:val="000000"/>
        </w:rPr>
        <w:br/>
        <w:t>- зубную щетку, пасту</w:t>
      </w:r>
      <w:r>
        <w:rPr>
          <w:rFonts w:ascii="PtSans" w:hAnsi="PtSans"/>
          <w:color w:val="000000"/>
        </w:rPr>
        <w:br/>
        <w:t>- мыло</w:t>
      </w:r>
      <w:r>
        <w:rPr>
          <w:rFonts w:ascii="PtSans" w:hAnsi="PtSans"/>
          <w:color w:val="000000"/>
        </w:rPr>
        <w:br/>
        <w:t>- полотенце</w:t>
      </w:r>
      <w:r>
        <w:rPr>
          <w:rFonts w:ascii="PtSans" w:hAnsi="PtSans"/>
          <w:color w:val="000000"/>
        </w:rPr>
        <w:br/>
        <w:t>- туалетную бумагу</w:t>
      </w:r>
      <w:r>
        <w:rPr>
          <w:rFonts w:ascii="PtSans" w:hAnsi="PtSans"/>
          <w:color w:val="000000"/>
        </w:rPr>
        <w:br/>
        <w:t>- расческу</w:t>
      </w:r>
      <w:r>
        <w:rPr>
          <w:rFonts w:ascii="PtSans" w:hAnsi="PtSans"/>
          <w:color w:val="000000"/>
        </w:rPr>
        <w:br/>
        <w:t>- носовые платки</w:t>
      </w:r>
      <w:r>
        <w:rPr>
          <w:rFonts w:ascii="PtSans" w:hAnsi="PtSans"/>
          <w:color w:val="000000"/>
        </w:rPr>
        <w:br/>
        <w:t>- кружку, ложку</w:t>
      </w:r>
      <w:r>
        <w:rPr>
          <w:rFonts w:ascii="PtSans" w:hAnsi="PtSans"/>
          <w:color w:val="000000"/>
        </w:rPr>
        <w:br/>
        <w:t>- тапочки</w:t>
      </w:r>
      <w:r>
        <w:rPr>
          <w:rFonts w:ascii="PtSans" w:hAnsi="PtSans"/>
          <w:color w:val="000000"/>
        </w:rPr>
        <w:br/>
        <w:t>- нижнее белье 2-3 комплекта</w:t>
      </w:r>
      <w:r>
        <w:rPr>
          <w:rFonts w:ascii="PtSans" w:hAnsi="PtSans"/>
          <w:color w:val="000000"/>
        </w:rPr>
        <w:br/>
        <w:t>- носки 2-3 пары</w:t>
      </w:r>
      <w:r>
        <w:rPr>
          <w:rFonts w:ascii="PtSans" w:hAnsi="PtSans"/>
          <w:color w:val="000000"/>
        </w:rPr>
        <w:br/>
        <w:t>- спортивный костюм</w:t>
      </w:r>
      <w:r>
        <w:rPr>
          <w:rFonts w:ascii="PtSans" w:hAnsi="PtSans"/>
          <w:color w:val="000000"/>
        </w:rPr>
        <w:br/>
        <w:t>Согласно п.13 Постановления Главного государственного санитарного врача РФ от 18 мая 2010г. №58 «Об утверждении СанПин 2.1.3.2630-10 «Санитарно-эпидемиологические требования к организациям, осуществляющим медицинскую деятельность»: разрешается использовать собственные предметы личной гигиены и допускается нахождение больных в стационарах в домашней одежде.</w:t>
      </w:r>
    </w:p>
    <w:p w:rsidR="00B8622D" w:rsidRDefault="00B8622D" w:rsidP="00B8622D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FF0000"/>
        </w:rPr>
        <w:t>Сроки оказания специализированной помощи (за исключением высокотехнологичной медицинской помощи) в стационарных условиях в плановой форме - не более 30 дней с момента выдачи направления на госпитализацию.</w:t>
      </w:r>
    </w:p>
    <w:p w:rsidR="00F112BD" w:rsidRDefault="00F112BD">
      <w:bookmarkStart w:id="0" w:name="_GoBack"/>
      <w:bookmarkEnd w:id="0"/>
    </w:p>
    <w:sectPr w:rsidR="00F1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35"/>
    <w:rsid w:val="00701035"/>
    <w:rsid w:val="00B8622D"/>
    <w:rsid w:val="00F1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66DE6-4076-4CA1-B1E5-0D5D67FE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2019-08-19T09:26:00Z</dcterms:created>
  <dcterms:modified xsi:type="dcterms:W3CDTF">2019-08-19T09:26:00Z</dcterms:modified>
</cp:coreProperties>
</file>