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При 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плановой</w:t>
      </w:r>
      <w:r>
        <w:rPr>
          <w:rFonts w:ascii="Arial" w:hAnsi="Arial" w:cs="Arial"/>
          <w:color w:val="444444"/>
          <w:bdr w:val="none" w:sz="0" w:space="0" w:color="auto" w:frame="1"/>
        </w:rPr>
        <w:t> госпитализации необходимо: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1.Направление врача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2.Анализы, исследования необходимые при госпитализации в стационар данного профиля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3.Документ удостоверяющий личность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4.Страховой полис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Орловской области.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«Об утверждении перечня медицинских и эпидемиологических показаний к размещению пациентов в маломестных палатах (боксах)»,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По разрешению лечащего врача родственники могут ухаживать за больными.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«Об утверждении Правил обязательного медицинского страхования» и разъяснениями к нему; </w:t>
      </w:r>
      <w:r>
        <w:rPr>
          <w:rStyle w:val="a4"/>
          <w:rFonts w:ascii="Arial" w:hAnsi="Arial" w:cs="Arial"/>
          <w:color w:val="444444"/>
          <w:bdr w:val="none" w:sz="0" w:space="0" w:color="auto" w:frame="1"/>
        </w:rPr>
        <w:t>экстренная и неотложная</w:t>
      </w:r>
      <w:r>
        <w:rPr>
          <w:rFonts w:ascii="Arial" w:hAnsi="Arial" w:cs="Arial"/>
          <w:color w:val="444444"/>
          <w:bdr w:val="none" w:sz="0" w:space="0" w:color="auto" w:frame="1"/>
        </w:rPr>
        <w:t xml:space="preserve"> медицинская помощь оказывается без предъявления паспорта и </w:t>
      </w:r>
      <w:r>
        <w:rPr>
          <w:rFonts w:ascii="Arial" w:hAnsi="Arial" w:cs="Arial"/>
          <w:color w:val="444444"/>
          <w:bdr w:val="none" w:sz="0" w:space="0" w:color="auto" w:frame="1"/>
        </w:rPr>
        <w:lastRenderedPageBreak/>
        <w:t>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A77D32" w:rsidRDefault="00A77D32" w:rsidP="00A77D32">
      <w:pPr>
        <w:pStyle w:val="a3"/>
        <w:shd w:val="clear" w:color="auto" w:fill="FFFFFF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A77D32" w:rsidRDefault="00A77D32" w:rsidP="00A77D32">
      <w:pPr>
        <w:pStyle w:val="a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Согласно раздела </w:t>
      </w:r>
      <w:r>
        <w:rPr>
          <w:rStyle w:val="a4"/>
          <w:color w:val="444444"/>
          <w:bdr w:val="none" w:sz="0" w:space="0" w:color="auto" w:frame="1"/>
          <w:lang w:val="en-US"/>
        </w:rPr>
        <w:t>VIII</w:t>
      </w:r>
      <w:r>
        <w:rPr>
          <w:rStyle w:val="a4"/>
          <w:color w:val="444444"/>
          <w:bdr w:val="none" w:sz="0" w:space="0" w:color="auto" w:frame="1"/>
        </w:rPr>
        <w:t>, п.14 Постановления Правительства Орловской области от 29.12.2017 №574: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ожидания 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и консультаций врачей-специалистов: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ожидания оказания специализированной (за исключением высокотехнологичной) медицинской помощи не должны превышать 30 календарных дней со дня выдачи лечащим врачом направления на госпитализацию, а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км, при удаленности вызова более   15 километров время доезда увеличивается на 10 минут на каждые   10 километров.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</w:t>
      </w:r>
      <w:r>
        <w:rPr>
          <w:color w:val="444444"/>
          <w:bdr w:val="none" w:sz="0" w:space="0" w:color="auto" w:frame="1"/>
        </w:rPr>
        <w:lastRenderedPageBreak/>
        <w:t>помощи, оказываемой в плановой форме, и осуществляется информирование граждан в доступной форме, в 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Программа сформирована с учетом: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1) порядков оказания медицинской помощи и стандартов медицинской помощи;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2) особенностей половозрастного состава населения Орловской области;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3) уровня и структуры заболеваемости населения, основанных на данных медицинской статистики;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4) климатических и географических особенностей региона и транспортной доступности медицинских организаций;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5) 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1) руководитель структурного подразделения медицинской организации, руководитель медицинской организации;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2) страховая медицинская организация, включая своего страхового представителя;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3) Департамент здравоохранения Орловской области, территориальный орган  Росздравнадзора,  Территориальный фонд обязательного медицинского страхования Орловской области;</w:t>
      </w:r>
    </w:p>
    <w:p w:rsidR="00A77D32" w:rsidRDefault="00A77D32" w:rsidP="00A77D3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4) общественные организации, включая Общественный совет по защите прав пациентов при Департаменте здравоохранения Орловской области,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F409FA" w:rsidRDefault="00F409FA">
      <w:bookmarkStart w:id="0" w:name="_GoBack"/>
      <w:bookmarkEnd w:id="0"/>
    </w:p>
    <w:sectPr w:rsidR="00F4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D1"/>
    <w:rsid w:val="00777ED1"/>
    <w:rsid w:val="00A77D32"/>
    <w:rsid w:val="00F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F67D-4AB1-4F08-9968-ADE30E8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2019-10-21T11:21:00Z</dcterms:created>
  <dcterms:modified xsi:type="dcterms:W3CDTF">2019-10-21T11:21:00Z</dcterms:modified>
</cp:coreProperties>
</file>