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0C" w:rsidRPr="0031780C" w:rsidRDefault="0031780C" w:rsidP="0031780C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Условия и порядок оказания медицинской помощи,</w:t>
      </w:r>
    </w:p>
    <w:p w:rsidR="0031780C" w:rsidRPr="0031780C" w:rsidRDefault="0031780C" w:rsidP="0031780C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предусмотренной Программой, в том числе в медицинских</w:t>
      </w:r>
    </w:p>
    <w:p w:rsidR="0031780C" w:rsidRPr="0031780C" w:rsidRDefault="0031780C" w:rsidP="0031780C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организациях, участвующих в реализации Территориальной</w:t>
      </w:r>
    </w:p>
    <w:p w:rsidR="0031780C" w:rsidRPr="0031780C" w:rsidRDefault="0024555C" w:rsidP="0031780C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программы ОМС на 2018</w:t>
      </w:r>
      <w:r w:rsidR="0031780C"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Медицинской организацией на видном месте, а также на своем официальном сайте в информационно-телекоммуникационной сети Интернет размещается доступная наглядная информация: часы работы организации, служб и специалистов, перечень оказываемых бесплатно видов медицинской помощи, порядок и условия оказания бесплатной медицинской помощи в соответствии с Программой, права и обязанности пациентов, перечень платных услуг, их стоимость и порядок оказания, местонахождение и служебные телефоны вышестоящего органа управления здравоохранением.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медицинских организациях, оказывающих первичную медико-санитарную помощь в амбулаторных условиях, устанавливаются следующие условия и порядок предоставления медицинской помощи: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медицинских организациях, оказывающих первичную медико-санитарную помощь в амбулаторных условиях,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предоставление медицинской помощи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осуществляется преимущественно по территориально-участковому принципу в соответствии приказами Министерства здравоохранения и социального развития Российской Федерации</w:t>
      </w:r>
      <w:r w:rsidRPr="0031780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 15.05.2012 № 543н</w:t>
      </w:r>
      <w:r w:rsidRPr="0031780C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«Об утверждении Положения об организации оказания первичной медико-санитарной помощи взрослому населению», от 16.04.2012 № 366н «Об утверждении Порядка оказания педиатрической помощи».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 гражданином медицинской организации при оказании ему медицинской помощи в рамках Программы осуществляется в соответствии с приказом Министерства здравоохранения и социального развития Российской Федерации от 26.04.2012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приказом Министерства здравоохранения Российской Федерации от 21.12.2012      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если гражданином не было подано заявление о выборе медицинской организации, он считается прикрепленным к той медицинской организации, к которой он был прикреплен ранее;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выборе медицинской организации и врача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развития Российской Федерации от 23.04.2012 № 390н;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режим работы, приема пациентов, вызовов на дом регулируется правилами внутреннего трудового распорядка медицинской организации;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медицинской организации осуществляется: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обеспечение доступности медицинской помощи гражданам в рабочие дни недели и субботу (в том числе в городских поликлиниках в рабочие дни недели с 8.00 до 20.00 и субботу с 8.00 до 16.00), а также преемственность в оказании медицинской помощи, в том числе в выходные и праздничные дни, в период отсутствия специалистов при необходимости оказания экстренной и неотложной помощи;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совпадение времени приема врача-терапевта участкового, врача общей практики со временем работы кабинетов и служб, обеспечивающих проведение консультаций, исследований, процедур;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определение лечащим врачом объема диагностических и лечебных мероприятий для конкретного пациента;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наличие направления лечащего врача на проведение диагностических инструментальных и лабораторных исследований;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реализация рекомендаций врачей-консультантов по согласованию с лечащим врачом, за исключением экстренных случаев, угрожающих жизни больного;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определение лечащим врачом оснований для плановой госпитализации в соответствии с медицинскими показаниями, требующими госпитального режима, активной терапии и круглосуточного наблюдения врача;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перед направлением на плановую госпитализацию медицинская организация обеспечивает проведение обследования пациента в необходимом объеме к установленному сроку госпитализации;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невозможности пациента посетить медицинскую организацию по состоянию здоровья оказание медицинской помощи осуществляется на дому;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оказание первичной специализированной медико-санитарной помощи осуществляется: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самостоятельного обращения гражданина в медицинскую организацию, в том числе выбранную им, с учетом порядков оказания медицинской помощи;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Программы принимает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Программой устанавливаются следующие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условия реализации установленного</w:t>
      </w: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 </w:t>
      </w:r>
      <w:hyperlink r:id="rId4" w:history="1">
        <w:r w:rsidRPr="0031780C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законодательством</w:t>
        </w:r>
      </w:hyperlink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получении первичной медико-санитарной помощи по Территориальной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чем один раз в год (за исключением случаев замены медицинской организации) путем подачи заявления лично или через своего представителя 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 имя руководителя медицинской организации. Гражданин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Решение о замене лечащего врача принимается руководителем медицинской организации в соответствии с приказом Министерства здравоохранения и социального развития Российской Федерации              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от 26.04.2012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Возложение функций лечащего врача на врача соответствующей специальности осуществляется с учетом его согласия.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оказании стоматологической медицинской помощи выбор врача стоматолога (зубного врача) может осуществляться вне медицинской организации, к которой гражданин прикреплен на медицинское обслуживание.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Сроки ожидания медицинской помощи, оказываемой в плановой форме,</w:t>
      </w: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оказание первичной медико-санитарной помощи в неотложной форме – не более двух часов с момента обращения пациента в медицинскую организацию;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прием врачами-терапевтами участковыми, врачами общей практики (семейными врачами), врачами-педиатрами участковыми – не более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24 часов с момента обращения пациента в медицинскую организацию;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проведение консультаций врачей-специалистов – не более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            14 календарных дней со дня обращения пациента в медицинскую организацию;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диагностических инструментальных (рентгенологических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– не более 14 календарных дней со дня назначения;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время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доезда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– не более    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20 минут с момента ее вызова;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время ожидания, назначенное по предварительной записи амбулаторного приема, не превышает 30 минут от времени,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медицинской организации;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время ожидания медицинского работника (врача, медицинской сестры, фельдшера) при оказании медицинской помощи и услуг на дому не превышает 6 часов с момента назначения времени обслуживания вызова (кроме периодов эпидемических подъемов заболеваемости населения);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 xml:space="preserve">лечение с применением вспомогательных репродуктивных технологий,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ортодонтическая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 xml:space="preserve"> коррекция с применением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брекет-системы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 xml:space="preserve"> – сроком до      </w:t>
      </w: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12 месяцев (с ведением листов ожидания);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pacing w:val="-4"/>
          <w:sz w:val="28"/>
          <w:szCs w:val="28"/>
          <w:lang w:eastAsia="ru-RU"/>
        </w:rPr>
        <w:t>экстренная медицинская помощь оказывается пациенту по месту обращения с учетом соблюдения установленных требований к срокам её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оказания независимо от наличия или отсутствия документов, удостоверяющих личность, и полиса ОМС.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К категориям граждан, имеющих право внеочередного оказания медицинской помощи, относятся: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граждане из числа лиц, указанных в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5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статьях 14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–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6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19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7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21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Федерального закона «О ветеранах»;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граждане, указанные в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8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пунктах 1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–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9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4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10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6 части 1 статьи 13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Закона Российской Федерации «О социальной защите граждан, подвергшихся воздействию радиации вследствие катастрофы на Чернобыльской АЭС»;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граждане Российской Федерации, подвергшиеся радиационному воздействию вследствие ядерных испытаний на Семипалатинском полигоне и получившие суммарную (накопленную) эффективную дозу облучения, превышающую 25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сЗв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(бэр);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граждане из числа указанных в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11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статьях 2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-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12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6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13" w:history="1">
        <w:r w:rsidRPr="0031780C">
          <w:rPr>
            <w:rFonts w:ascii="Times New Roman" w:eastAsia="Times New Roman" w:hAnsi="Times New Roman" w:cs="Times New Roman"/>
            <w:sz w:val="28"/>
            <w:lang w:eastAsia="ru-RU"/>
          </w:rPr>
          <w:t>12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Теча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»;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Герои Социалистического Труда и полные кавалеры ордена Трудовой Славы;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Герои Советского Союза, Герои Российской Федерации и полные кавалеры ордена Славы;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реабилитированные лица;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лица, пострадавшие от политических репрессий;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лица, награжденные знаком «Почетный донор России»;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лица, нуждающиеся в экстренной и неотложной медицинской помощи;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медицинские работники;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беременные женщины;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социальные работники при исполнении ими служебных обязанностей по предоставлению социальных услуг гражданам пожилого возраста и инвалидам;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спасатели профессиональных аварийно-спасательных служб, профессиональных аварийно-спасательных формирований, пострадавшие в ходе исполнения обязанностей, возложенных на них трудовым договором;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pacing w:val="-2"/>
          <w:sz w:val="28"/>
          <w:szCs w:val="28"/>
          <w:lang w:eastAsia="ru-RU"/>
        </w:rPr>
        <w:t>граждане Российской Федерации, постоянно проживающие на территории Самарской области, родившиеся на территории СССР в период с 3 сентября 1927 года по 2 сентября 1945 года включительно;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иные лица в соответствии с законодательством Российской Федерации и Самарской области.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Основанием для внеочередного оказания медицинской помощи является документ, подтверждающий льготную категорию граждан.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Плановая медицинская помощь в амбулаторных условиях оказывается гражданам во внеочередном порядке по месту прикрепления.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необходимости выполнения диагностических исследований и лечебных манипуляций лечащий врач организует их предоставление вне очереди, формируемой в медицинском учреждении.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Предоставление плановой стационарной медицинской помощи вышеуказанным категориям граждан осуществляется во внеочередном порядке, о чем делается соответствующая запись в листе ожидания.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Обеспечение граждан лекарственными препаратами,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пациента, осуществляется: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при амбулаторном лечении ‒ за счет средств граждан, за исключением лиц, имеющих право на льготное лекарственное обеспечение;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540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при лечении с использованием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стационарозамещающих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технологий и в круглосуточных стационарах ‒ за счет средств ОМС и соответствующего бюджета.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8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Порядок обеспечения граждан лекарственными препаратами, медицинскими изделиями, специализированными продуктами лечебного питания регулируется частью 5 статьи 37, статьей 48, частями 2, 3        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статьи 80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Федерального закона «Об основах охраны здоровья граждан в Российской Федерации», приказом Министерства здравоохранения и социального развития Российской Федерации от 12.02.2007 № 110         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«О порядке назначения и выписывания лекарственных препаратов, изделий медицинского назначения и специализированных продуктов лечебного питания», приказами Министерства здравоохранения Российской Федерации от 20.12.2012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хранения», от 20.12.2012 № 1181н          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«Об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хранения».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 перечень мероприятий по профилактике заболеваний и формированию здорового образа жизни, осуществляемых в рамках Программы, входит: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профилактических мероприятий по предупреждению и снижению заболеваемости, выявление ранних и скрытых форм заболеваний, социально значимых заболеваний и факторов риска;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диспансеризации населения;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диспансерное наблюдение за состоянием здоровья лиц, страдающих хроническими заболеваниями, функциональными расстройствами, иными состояниями, с целью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медицинских осмотров несовершеннолетних и профилактических медицинских осмотров взрослого населения;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проведение противоэпидемических мероприятий, в том числе вакцинации, в соответствии с национальным календарем профилактических прививок и по эпидемическим показаниям, выявление больных инфекционными заболеваниями, динамическое наблюдение за лицами, контактирующими с больными инфекционными заболеваниями, по месту жительства, учебы, работы и за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реконвалесцентами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, а также передача в установленном порядке информации о выявленных случаях инфекционных заболеваний;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осуществление врачебных консультаций;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 xml:space="preserve">организация и проведение мероприятий по пропаганде здорового образа жизни, включая вопросы рационального питания, увеличения двигательной активности, предупреждения потребления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психоактивных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веществ, в том числе алкоголя, табака, наркотических веществ;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выявление курящих лиц и лиц, избыточно потребляющих алкоголь, а также лиц с высоким риском развития болезней, связанных с курением, алкоголем и отравлением суррогатами алкоголя;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оказание медицинской помощи по отказу от курения и злоупотребления алкоголем, включая направление на консультацию и лечение в специализированные профильные медицинские организации;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немедикаментозной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коррекции и профилактики, а также консультирования по вопросам ведения здорового образа жизни в отделениях (кабинетах) медицинской профилактики и центрах здоровья;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проведение оздоровительных мероприятий, медикаментозной и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немедикаментозной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коррекции факторов риска, обеспечение памятками, диспансерное наблюдение лиц, имеющих высокий риск развития хронического неинфекционного заболевания и его осложнений, направление при необходимости лиц с высоким риском развития хронического неинфекционного заболевания на консультацию к врачу-специалисту;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организация и проведение мероприятий по санитарно-гигиеническому просвещению, включая мероприятия по укреплению здоровья населения;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организация и проведение школ здоровья, школ для больных с социально значимыми неинфекционными заболеваниями и заболеваниями, являющимися основными причинами смертности и инвалидности населения, а также для лиц с высоким риском их возникновения;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обучение населения по вопросам оказания первой помощи, а также индивидуальное и (или) групповое обучение лиц, имеющих высокий риск развития </w:t>
      </w:r>
      <w:proofErr w:type="spellStart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жизнеугрожающих</w:t>
      </w:r>
      <w:proofErr w:type="spellEnd"/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состояний, и членов их семей правилам первой помощи при этих состояниях.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Указанные мероприятия проводятся на доврачебных, врачебных этапах оказания пациентам медицинской помощи в учреждениях здравоохранения Самарской области, включая центры медицинской профилактики и центры здоровья.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lastRenderedPageBreak/>
        <w:t>Условия</w:t>
      </w: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 сроки диспансеризации для отдельных категорий граждан следующие.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Диспансеризация определенных групп взрослого населения (далее - диспансеризация)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Диспансеризация проводится 1 раз в 3 года начиная с 21 года работающих и неработающих граждан, обучающихся в образовательных организациях по очной форме, путем углубленного обследования состояния здоровья, установленного для каждого возрастного периода. Годом прохождения диспансеризации считается календарный год, в котором гражданин достигает соответствующего возраста.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Ежегодно вне зависимости от возраста проводится диспансеризация инвалидов Великой Отечественной войны и инвалидов боевых действий, участников Великой Отечественной войны, ставших инвалидами, лиц, награжденных знаком «Жителю блокадного Ленинграда», признанных инвалидами,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Диспансеризация проводится в два этапа.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Первый этап диспансеризации (скрининг) проводится с целью выявления у граждан признаков хронических неинфекционных заболеваний, являющихся основной причиной инвалидности и преждевременной смертности населения, основных факторов риска их развития, потребления наркотических средств и психотропных веществ без назначения врача.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Результатом проведения первого этапа диспансеризации является определение группы состояния здоровья гражданина, группы диспансерного наблюдения, необходимых профилактических, лечебных, реабилитационных и оздоровительных мероприятий, а также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диспансеризации. Гражданам с выявленными хроническими неинфекционными заболеваниями и (или) факторами риска их развития, а также здоровым гражданам в обязательном порядке оказывается краткое профилактическое консультирование.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консультировании, направляются врачом-терапевтом на медицинские мероприятия второго этапа диспансеризации. Второй этап диспансеризации проводится с целью дополнительного обследования и уточнения диагноза заболевания (состояния).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Врачами-специалистами центров здоровья, отделений (кабинетов) медицинской профилактики при наличии показаний, выявленных в результате проведения диспансеризации, проводится индивидуальное углубленное профилактическое консультирование и групповое профилактическое консультирование (школы пациента).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Гражданин проходит диспансеризацию в медицинской организации, в которой получает первичную медико-санитарную помощь. Диспансеризация проводится при наличии информированного добровольного согласия гражданина или его законного представителя. 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Профилактический медицинский осмотр проводится 1 раз в 2 года.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год прохождения диспансеризации профилактический медицинский осмотр не проводится. Работники, занятые на работах с вредными и (или) опасными производственными факторами, и работники, занятые на отдельных видах работ, которые в соответствии с законодательством Российской Федерации проходят обязательные периодические медицинские осмотры, профилактическому медицинскому осмотру не подлежат.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Целью проведения профилактического медицинского осмотра является раннее (своевременное) выявление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 врача, а также формирование групп состояния здоровья и выработка рекомендаций для пациентов в те годы, когда диспансеризация для данного гражданина не проводится.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Детям-сиротам и детям, оставшимся без попечения родителей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    (далее ˗ несовершеннолетний сирота), оказание медицинской помощи, включая специализированную, в том числе высокотехнологичную медицинскую помощь, осуществляется с соблюдением следующих условий: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наличие у медицинской организации лицензии на медицинскую деятельность по соответствующим видам работ и услуг;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наличие письменного информированного добровольного согласия на медицинское вмешательство несовершеннолетнего сироты либо в случаях, установленных федеральным законодательством, его законного представителя с соблюдением требований, установленных</w:t>
      </w:r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hyperlink r:id="rId14" w:history="1">
        <w:r w:rsidRPr="0031780C">
          <w:rPr>
            <w:rFonts w:ascii="Times New Roman" w:eastAsia="Times New Roman" w:hAnsi="Times New Roman" w:cs="Times New Roman"/>
            <w:color w:val="0F5F96"/>
            <w:sz w:val="28"/>
            <w:u w:val="single"/>
            <w:lang w:eastAsia="ru-RU"/>
          </w:rPr>
          <w:t>статьей 20</w:t>
        </w:r>
      </w:hyperlink>
      <w:r w:rsidRPr="0031780C">
        <w:rPr>
          <w:rFonts w:ascii="Times New Roman" w:eastAsia="Times New Roman" w:hAnsi="Times New Roman" w:cs="Times New Roman"/>
          <w:color w:val="3B3B3B"/>
          <w:sz w:val="28"/>
          <w:lang w:eastAsia="ru-RU"/>
        </w:rPr>
        <w:t> </w:t>
      </w: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Федерального закона «Об основах охраны здоровья граждан в Российской Федерации»;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предоставление несовершеннолетнему сироте либо в случаях, установленных федеральным законодательством, его законному представителю лично врачом или другими медицинскими работниками, принимающими непосредственное участие в проведении лечения, полной и достоверной информации о состоянии его здоровья;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проведение лечения несовершеннолетнего сироты в медицинских организациях государственной системы здравоохранения без взимания платы, в том числе оказание высокотехнологичной медицинской помощи, проведение диспансеризации, оздоровления, регулярных медицинских осмотров, а также направление на лечение за пределы территории Самарской области (при наличии медицинских показаний).</w:t>
      </w:r>
    </w:p>
    <w:p w:rsidR="0031780C" w:rsidRPr="0031780C" w:rsidRDefault="0031780C" w:rsidP="0031780C">
      <w:pPr>
        <w:shd w:val="clear" w:color="auto" w:fill="FFFFFF"/>
        <w:spacing w:after="100" w:afterAutospacing="1" w:line="293" w:lineRule="atLeast"/>
        <w:ind w:firstLine="709"/>
        <w:jc w:val="both"/>
        <w:rPr>
          <w:rFonts w:ascii="Arial" w:eastAsia="Times New Roman" w:hAnsi="Arial" w:cs="Arial"/>
          <w:color w:val="3B3B3B"/>
          <w:sz w:val="20"/>
          <w:szCs w:val="20"/>
          <w:lang w:eastAsia="ru-RU"/>
        </w:rPr>
      </w:pPr>
      <w:r w:rsidRPr="0031780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Организацией диспансеризации несовершеннолетних сирот занимаются те организации, в которых они пребывают. Диспансеризация несовершеннолетних сирот проводится ежегодно в порядке, утвержденном Министерством здравоохранения Российской Федерации.</w:t>
      </w:r>
    </w:p>
    <w:p w:rsidR="00BB1DBB" w:rsidRDefault="00BB1DBB"/>
    <w:sectPr w:rsidR="00BB1DBB" w:rsidSect="00BB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780C"/>
    <w:rsid w:val="000E6572"/>
    <w:rsid w:val="0024555C"/>
    <w:rsid w:val="0031780C"/>
    <w:rsid w:val="00BB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80C"/>
  </w:style>
  <w:style w:type="character" w:styleId="a3">
    <w:name w:val="Hyperlink"/>
    <w:basedOn w:val="a0"/>
    <w:uiPriority w:val="99"/>
    <w:semiHidden/>
    <w:unhideWhenUsed/>
    <w:rsid w:val="00317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72AEC4425FFCCF3603AA0E2F8A184CFE85FBF986115457B4317B227DE72B9396580CCEED5F6F3k8Y4N" TargetMode="External"/><Relationship Id="rId13" Type="http://schemas.openxmlformats.org/officeDocument/2006/relationships/hyperlink" Target="consultantplus://offline/ref=B3172AEC4425FFCCF3603AA0E2F8A184CFE857BA916015457B4317B227DE72B9396580CCEED5F6F1k8Y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172AEC4425FFCCF3603AA0E2F8A184CFE85FBE966D15457B4317B227DE72B9396580CCEFkDY1N" TargetMode="External"/><Relationship Id="rId12" Type="http://schemas.openxmlformats.org/officeDocument/2006/relationships/hyperlink" Target="consultantplus://offline/ref=B3172AEC4425FFCCF3603AA0E2F8A184CFE857BA916015457B4317B227DE72B9396580kCY8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72AEC4425FFCCF3603AA0E2F8A184CFE85FBE966D15457B4317B227DE72B9396580CCEEkDY7N" TargetMode="External"/><Relationship Id="rId11" Type="http://schemas.openxmlformats.org/officeDocument/2006/relationships/hyperlink" Target="consultantplus://offline/ref=B3172AEC4425FFCCF3603AA0E2F8A184CFE857BA916015457B4317B227DE72B9396580kCYCN" TargetMode="External"/><Relationship Id="rId5" Type="http://schemas.openxmlformats.org/officeDocument/2006/relationships/hyperlink" Target="consultantplus://offline/ref=B3172AEC4425FFCCF3603AA0E2F8A184CFE85FBE966D15457B4317B227DE72B9396580CFkEY6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172AEC4425FFCCF3603AA0E2F8A184CFE85FBF986115457B4317B227DE72B9396580CCEED5F6F2k8YBN" TargetMode="External"/><Relationship Id="rId4" Type="http://schemas.openxmlformats.org/officeDocument/2006/relationships/hyperlink" Target="consultantplus://offline/ref=3D14882F90969377CFDFB5A4BCEF1F7E20723C901D358157CA6B80BA377B2EDFA77782954EA3DAy5n7M" TargetMode="External"/><Relationship Id="rId9" Type="http://schemas.openxmlformats.org/officeDocument/2006/relationships/hyperlink" Target="consultantplus://offline/ref=B3172AEC4425FFCCF3603AA0E2F8A184CFE85FBF986115457B4317B227DE72B9396580CCEED5F6F2k8Y9N" TargetMode="External"/><Relationship Id="rId14" Type="http://schemas.openxmlformats.org/officeDocument/2006/relationships/hyperlink" Target="consultantplus://offline/ref=CB0DA7C75E218E42BA0B0D0CDCF58C3356562F8BC03EC1FF1158057278ED97D95DFF5AFC550686E469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3946</Words>
  <Characters>22496</Characters>
  <Application>Microsoft Office Word</Application>
  <DocSecurity>0</DocSecurity>
  <Lines>187</Lines>
  <Paragraphs>52</Paragraphs>
  <ScaleCrop>false</ScaleCrop>
  <Company/>
  <LinksUpToDate>false</LinksUpToDate>
  <CharactersWithSpaces>26390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Шагарова</dc:creator>
  <cp:keywords/>
  <dc:description/>
  <cp:lastModifiedBy>А.В.Грунин</cp:lastModifiedBy>
  <cp:revision>4</cp:revision>
  <dcterms:created xsi:type="dcterms:W3CDTF">2017-06-27T10:12:00Z</dcterms:created>
  <dcterms:modified xsi:type="dcterms:W3CDTF">2018-08-24T07:14:00Z</dcterms:modified>
</cp:coreProperties>
</file>