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Helvetica"/>
          <w:b/>
          <w:bCs/>
          <w:color w:val="212121"/>
          <w:sz w:val="30"/>
          <w:szCs w:val="30"/>
          <w:lang w:eastAsia="ru-RU"/>
        </w:rPr>
        <w:t>Для госпитализации в детское ревматологическое отделение необходимо иметь: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1. </w:t>
      </w:r>
      <w:r w:rsidRPr="00D216AE">
        <w:rPr>
          <w:rFonts w:ascii="PT Sans" w:eastAsia="Times New Roman" w:hAnsi="PT Sans" w:cs="Times New Roman"/>
          <w:color w:val="212121"/>
          <w:sz w:val="24"/>
          <w:szCs w:val="24"/>
          <w:u w:val="single"/>
          <w:lang w:eastAsia="ru-RU"/>
        </w:rPr>
        <w:t>Документы: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Направление на госпитализацию из региональных органов здравоохранения для оказания ВМП, справка №057/у для ОМС.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Страховой полис (оригинал + ксерокопия).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Документ удостоверяющий личность родителей и ребенка (оригинал + ксерокопия).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Свидетельство о рождении (оригинал + ксерокопия).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Ксерокопия справки об инвалидности (если имеется инвалидность).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Выписка из амбулаторной карты, копии всех выписок из стационаров, где лечился ребенок по поводу данного заболевания.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Сведения о сопутствующих заболеваниях и терапии на период госпитализации.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Справку об отсутствии контактов с инфекционными заболеваниями по адресу, школьно–дошкольному учреждению.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Заключение дерматолога (срок 10 дней).</w:t>
      </w:r>
    </w:p>
    <w:p w:rsidR="00D216AE" w:rsidRPr="00D216AE" w:rsidRDefault="00D216AE" w:rsidP="00D216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Заключение стоматолога о санации полости рта. (САНАЦИЯ ОБЯЗАТЕЛЬНА!)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2. </w:t>
      </w:r>
      <w:r w:rsidRPr="00D216AE">
        <w:rPr>
          <w:rFonts w:ascii="PT Sans" w:eastAsia="Times New Roman" w:hAnsi="PT Sans" w:cs="Times New Roman"/>
          <w:color w:val="212121"/>
          <w:sz w:val="24"/>
          <w:szCs w:val="24"/>
          <w:u w:val="single"/>
          <w:lang w:eastAsia="ru-RU"/>
        </w:rPr>
        <w:t>Анализы: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Анализы крови на RW, ВИЧ, гепатиты В, С (срок не более 2-х месяцев).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Результаты серологического исследования напряженности по </w:t>
      </w:r>
      <w:r w:rsidRPr="00D216AE">
        <w:rPr>
          <w:rFonts w:ascii="PT Sans" w:eastAsia="Times New Roman" w:hAnsi="PT Sans" w:cs="Times New Roman"/>
          <w:b/>
          <w:bCs/>
          <w:color w:val="C0392B"/>
          <w:sz w:val="24"/>
          <w:szCs w:val="24"/>
          <w:lang w:eastAsia="ru-RU"/>
        </w:rPr>
        <w:t>кори</w:t>
      </w: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или сведения о прививках против кори (сертификат о профилактических прививках) или данные о перенесённом заболевании или справку. При наличии медицинских противопоказаний к вакцинации необходимо предоставить заключение иммунологической комиссии из поликлиники по месту жительства.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Клинический анализ крови.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Биохимический анализ крови.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Общий анализ мочи.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ЭКГ (описание).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Анализ кала на я/глист, энтеробиоз (срок 14 дней).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Анализ на дизентерию, мазок на дифтерию (срок 14 дней).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Данные о профилактических прививках, р. Манту (ксерокопия); рентгенограмма легких; для госпитализации по ВМП заключение фтизиатра.</w:t>
      </w:r>
    </w:p>
    <w:p w:rsidR="00D216AE" w:rsidRPr="00D216AE" w:rsidRDefault="00D216AE" w:rsidP="00D216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Рентгенограммы, МРТ, КТ, выполненные за период болезни.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212121"/>
          <w:sz w:val="30"/>
          <w:szCs w:val="30"/>
          <w:lang w:eastAsia="ru-RU"/>
        </w:rPr>
        <w:t>Госпитализация детей с родителями осуществляется в следующих случаях:</w:t>
      </w:r>
    </w:p>
    <w:p w:rsidR="00D216AE" w:rsidRPr="00D216AE" w:rsidRDefault="00D216AE" w:rsidP="00D216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Возраст до 4-х лет.</w:t>
      </w:r>
    </w:p>
    <w:p w:rsidR="00D216AE" w:rsidRPr="00D216AE" w:rsidRDefault="00D216AE" w:rsidP="00D216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Тяжесть основного заболевания, требующая индивидуального ухода (определяется врачом при поступлении).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C0392B"/>
          <w:sz w:val="30"/>
          <w:szCs w:val="30"/>
          <w:lang w:eastAsia="ru-RU"/>
        </w:rPr>
        <w:t>Важно!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Родители, госпитализируемые с детьми по уходу должны быть обследованы на ВИЧ, RW, гепатиты В и С, кишечную группу, иметь результаты флюрографии.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212121"/>
          <w:sz w:val="30"/>
          <w:szCs w:val="30"/>
          <w:lang w:eastAsia="ru-RU"/>
        </w:rPr>
        <w:t>Информируем, что после первичного осмотра и консультации ребенка в госпитализации может быть отказано по следующим причинам:</w:t>
      </w:r>
    </w:p>
    <w:p w:rsidR="00D216AE" w:rsidRPr="00D216AE" w:rsidRDefault="00D216AE" w:rsidP="00D216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Отсутствие объективных показаний для проведения ВТМП;</w:t>
      </w:r>
    </w:p>
    <w:p w:rsidR="00D216AE" w:rsidRPr="00D216AE" w:rsidRDefault="00D216AE" w:rsidP="00D216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Симптомы ОРВИ, инфекционных, паразитарных, грибковых заболеваний, включая гнойные поражения кожи и ногтей.</w:t>
      </w:r>
    </w:p>
    <w:p w:rsidR="00D216AE" w:rsidRPr="00D216AE" w:rsidRDefault="00D216AE" w:rsidP="00D216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lastRenderedPageBreak/>
        <w:t>Обострения неревматических заболеваний, препятствующих пребыванию в соматическом стационаре (сахарный диабет, психические, неврологические и др. болезни в стадии декомпенсации).</w:t>
      </w:r>
    </w:p>
    <w:p w:rsidR="00D216AE" w:rsidRPr="00D216AE" w:rsidRDefault="00D216AE" w:rsidP="00D216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Отсутствие результатов обследования на туберкулез (реакция Манту, рентгенограмма легких, заключение фтизиатра давностью не более 3 месяцев).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212121"/>
          <w:sz w:val="30"/>
          <w:szCs w:val="30"/>
          <w:lang w:eastAsia="ru-RU"/>
        </w:rPr>
        <w:t>Правила пребывания в детском ревматологическом отделении: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u w:val="single"/>
          <w:lang w:eastAsia="ru-RU"/>
        </w:rPr>
        <w:t>Личные вещи, необходимые пациенту при госпитализации:</w:t>
      </w:r>
    </w:p>
    <w:p w:rsidR="00D216AE" w:rsidRPr="00D216AE" w:rsidRDefault="00D216AE" w:rsidP="00D216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4 (четыре) смены нательного белья;</w:t>
      </w:r>
    </w:p>
    <w:p w:rsidR="00D216AE" w:rsidRPr="00D216AE" w:rsidRDefault="00D216AE" w:rsidP="00D216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легкий спортивный костюм;</w:t>
      </w:r>
    </w:p>
    <w:p w:rsidR="00D216AE" w:rsidRPr="00D216AE" w:rsidRDefault="00D216AE" w:rsidP="00D216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теплая одежда для прогулок на улице;</w:t>
      </w:r>
    </w:p>
    <w:p w:rsidR="00D216AE" w:rsidRPr="00D216AE" w:rsidRDefault="00D216AE" w:rsidP="00D216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предметы личной гигиены;</w:t>
      </w:r>
    </w:p>
    <w:p w:rsidR="00D216AE" w:rsidRPr="00D216AE" w:rsidRDefault="00D216AE" w:rsidP="00D216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сменная обувь с задником.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u w:val="single"/>
          <w:lang w:eastAsia="ru-RU"/>
        </w:rPr>
        <w:t>Запрещается:</w:t>
      </w:r>
    </w:p>
    <w:p w:rsidR="00D216AE" w:rsidRPr="00D216AE" w:rsidRDefault="00D216AE" w:rsidP="00D216A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объемные дорожные сумки;</w:t>
      </w:r>
    </w:p>
    <w:p w:rsidR="00D216AE" w:rsidRPr="00D216AE" w:rsidRDefault="00D216AE" w:rsidP="00D216A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колющие и режущие предметы (ножи, вилки);</w:t>
      </w:r>
    </w:p>
    <w:p w:rsidR="00D216AE" w:rsidRPr="00D216AE" w:rsidRDefault="00D216AE" w:rsidP="00D216A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электроприборы.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C0392B"/>
          <w:sz w:val="24"/>
          <w:szCs w:val="24"/>
          <w:lang w:eastAsia="ru-RU"/>
        </w:rPr>
        <w:t>Обращаем внимание</w:t>
      </w: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, что за сохранность ценных вещей (ноутбуков, планшетов, мобильных телефонов, ювелирных украшений, наличных денежных средств) администрация Института ответственности не несет!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212121"/>
          <w:sz w:val="30"/>
          <w:szCs w:val="30"/>
          <w:lang w:eastAsia="ru-RU"/>
        </w:rPr>
        <w:t>Посещения пациентов в детском ревматологическом отделении ФГБНУ НИИР им. В.А. Насоновой: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С понедельника по пятницу </w:t>
      </w:r>
      <w:r w:rsidRPr="00D216AE">
        <w:rPr>
          <w:rFonts w:ascii="PT Sans" w:eastAsia="Times New Roman" w:hAnsi="PT Sans" w:cs="Times New Roman"/>
          <w:b/>
          <w:bCs/>
          <w:color w:val="212121"/>
          <w:sz w:val="24"/>
          <w:szCs w:val="24"/>
          <w:lang w:eastAsia="ru-RU"/>
        </w:rPr>
        <w:t>с 17.00 до 20.00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Выходные дни (суббота, воскресенье, праздничные дни): утро </w:t>
      </w:r>
      <w:r w:rsidRPr="00D216AE">
        <w:rPr>
          <w:rFonts w:ascii="PT Sans" w:eastAsia="Times New Roman" w:hAnsi="PT Sans" w:cs="Times New Roman"/>
          <w:b/>
          <w:bCs/>
          <w:color w:val="212121"/>
          <w:sz w:val="24"/>
          <w:szCs w:val="24"/>
          <w:lang w:eastAsia="ru-RU"/>
        </w:rPr>
        <w:t>с 11.00 до 13.00</w:t>
      </w: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, вечер </w:t>
      </w:r>
      <w:r w:rsidRPr="00D216AE">
        <w:rPr>
          <w:rFonts w:ascii="PT Sans" w:eastAsia="Times New Roman" w:hAnsi="PT Sans" w:cs="Times New Roman"/>
          <w:b/>
          <w:bCs/>
          <w:color w:val="212121"/>
          <w:sz w:val="24"/>
          <w:szCs w:val="24"/>
          <w:lang w:eastAsia="ru-RU"/>
        </w:rPr>
        <w:t>с 17.00 до 19.00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212121"/>
          <w:sz w:val="24"/>
          <w:szCs w:val="24"/>
          <w:lang w:eastAsia="ru-RU"/>
        </w:rPr>
        <w:t>Посетителям необходимо иметь документ, удостоверяющий личность, сменную обувь или бахилы.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b/>
          <w:bCs/>
          <w:color w:val="C0392B"/>
          <w:sz w:val="24"/>
          <w:szCs w:val="24"/>
          <w:lang w:eastAsia="ru-RU"/>
        </w:rPr>
        <w:t>Запрещаются визиты детей в возрасте до 15 лет!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u w:val="single"/>
          <w:lang w:eastAsia="ru-RU"/>
        </w:rPr>
        <w:t>Разрешается передавать: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Фрукты и овощи в чистом виде в полиэтиленовых пакетах; печенье, вафли (без крема), конфеты (карамель), мин. воду (не более 1 литра); соки в упаковках до 500 мл.</w:t>
      </w:r>
    </w:p>
    <w:p w:rsidR="00D216AE" w:rsidRPr="00D216AE" w:rsidRDefault="00D216AE" w:rsidP="00D216AE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u w:val="single"/>
          <w:lang w:eastAsia="ru-RU"/>
        </w:rPr>
        <w:t>Запрещено передавать:</w:t>
      </w: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мясные, молочные, рыбные продукты, салаты.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 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  <w:t>Все медикаменты, необходимые для лечения сопутствующих заболеваний должны быть подписаны и переданы на пост медсестры.</w:t>
      </w:r>
    </w:p>
    <w:p w:rsidR="00D216AE" w:rsidRPr="00D216AE" w:rsidRDefault="00D216AE" w:rsidP="00D216A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  <w:t>Категорически запрещено хранение медикаментов в палате!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Напоминаем, что ФГБНУ НИИР им. В.А Насоновой гостиницы не имеет и мест для проживания не бронирует.</w:t>
      </w:r>
    </w:p>
    <w:p w:rsidR="00D216AE" w:rsidRPr="00D216AE" w:rsidRDefault="00D216AE" w:rsidP="00D216A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  <w:t>Просим региональные органы здравоохранения сообщить пациенту дату госпитализации, указанную в протоколе!</w:t>
      </w:r>
    </w:p>
    <w:p w:rsidR="00D216AE" w:rsidRPr="00D216AE" w:rsidRDefault="00D216AE" w:rsidP="00D216AE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</w:pPr>
      <w:r w:rsidRPr="00D216AE">
        <w:rPr>
          <w:rFonts w:ascii="PT Sans" w:eastAsia="Times New Roman" w:hAnsi="PT Sans" w:cs="Times New Roman"/>
          <w:color w:val="212121"/>
          <w:sz w:val="26"/>
          <w:szCs w:val="26"/>
          <w:lang w:eastAsia="ru-RU"/>
        </w:rPr>
        <w:t> </w:t>
      </w:r>
    </w:p>
    <w:p w:rsidR="00A34B77" w:rsidRDefault="00A34B77">
      <w:bookmarkStart w:id="0" w:name="_GoBack"/>
      <w:bookmarkEnd w:id="0"/>
    </w:p>
    <w:sectPr w:rsidR="00A3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C4"/>
    <w:multiLevelType w:val="multilevel"/>
    <w:tmpl w:val="CED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65897"/>
    <w:multiLevelType w:val="multilevel"/>
    <w:tmpl w:val="CEE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C6A75"/>
    <w:multiLevelType w:val="multilevel"/>
    <w:tmpl w:val="D06C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23355"/>
    <w:multiLevelType w:val="multilevel"/>
    <w:tmpl w:val="1A5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547E7"/>
    <w:multiLevelType w:val="multilevel"/>
    <w:tmpl w:val="7DF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811BB"/>
    <w:multiLevelType w:val="multilevel"/>
    <w:tmpl w:val="CC44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77"/>
    <w:rsid w:val="00686977"/>
    <w:rsid w:val="00A34B77"/>
    <w:rsid w:val="00D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14186-D2CC-4D30-978D-43E31B8B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626105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2019-10-24T07:23:00Z</dcterms:created>
  <dcterms:modified xsi:type="dcterms:W3CDTF">2019-10-24T07:23:00Z</dcterms:modified>
</cp:coreProperties>
</file>