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1.Условия предоставления платных медицинских услуг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</w:t>
      </w:r>
      <w:proofErr w:type="gramStart"/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1..</w:t>
      </w:r>
      <w:proofErr w:type="gramEnd"/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– соответственно программа, территориальная программа).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1.2. Медицинская организация имеет право предоставлять платные медицинские услуги: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не предусмотренных стандартами медицинской помощи;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в) при самостоятельном обращении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1.3. Порядок определения цен (тарифов) на медицинские услуги, предоставляемые медицинской организацией, устанавливается министерством здравоохранения, осуществляющими функции и полномочия учредителей.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1.4.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1.5.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2.Порядок предоставления платных медицинских услуг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2.1.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2.2.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2.3.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2.4. 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3.Форма предоставления платных медицинских услуг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Платные медицинские услуги могут быть предоставлены в форме: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-приема (осмотра, консультации) врача-специалиста;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-профилактического приема врача-специалиста;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-диагностических исследований (в том числе клинико-лабораторная, функциональная, ультразвуковая диагностика);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-лечебные процедуры (рефлексотерапия, массаж, физиотерапия, внутримышечное введение лекарственных средств, зрительная гимнастика).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b/>
          <w:bCs/>
          <w:color w:val="404040"/>
          <w:sz w:val="24"/>
          <w:szCs w:val="24"/>
          <w:u w:val="single"/>
          <w:lang w:eastAsia="ru-RU"/>
        </w:rPr>
        <w:t>4.Оплата предоставленных платных медицинских услуг</w:t>
      </w:r>
    </w:p>
    <w:tbl>
      <w:tblPr>
        <w:tblW w:w="10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5"/>
      </w:tblGrid>
      <w:tr w:rsidR="00D7042F" w:rsidRPr="00D7042F" w:rsidTr="00D7042F">
        <w:tc>
          <w:tcPr>
            <w:tcW w:w="951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7042F" w:rsidRPr="00D7042F" w:rsidRDefault="00D7042F" w:rsidP="00D7042F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042F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4.</w:t>
            </w:r>
            <w:proofErr w:type="gramStart"/>
            <w:r w:rsidRPr="00D7042F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1.«</w:t>
            </w:r>
            <w:proofErr w:type="gramEnd"/>
            <w:r w:rsidRPr="00D7042F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Заказчик (потребитель)» полностью оплачивает в кассу «Исполнителя» стоимость оказываемой медицинской услуги, «Исполнитель» подтверждает факт оплаты выдачей чека. Оплата может быть произведена как до получения услуги, так и после ее получения. Оплата </w:t>
            </w:r>
            <w:r w:rsidRPr="00D7042F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lastRenderedPageBreak/>
              <w:t>может быть произведена и безналичным способом путем перечисления денежных средств на банковский счет «Исполнителя».</w:t>
            </w:r>
          </w:p>
        </w:tc>
      </w:tr>
      <w:tr w:rsidR="00D7042F" w:rsidRPr="00D7042F" w:rsidTr="00D7042F">
        <w:tc>
          <w:tcPr>
            <w:tcW w:w="9510" w:type="dxa"/>
            <w:tcBorders>
              <w:top w:val="single" w:sz="6" w:space="0" w:color="C9CDC9"/>
              <w:left w:val="single" w:sz="6" w:space="0" w:color="C9CDC9"/>
              <w:bottom w:val="single" w:sz="6" w:space="0" w:color="C9CDC9"/>
              <w:right w:val="single" w:sz="6" w:space="0" w:color="C9CD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7042F" w:rsidRPr="00D7042F" w:rsidRDefault="00D7042F" w:rsidP="00D7042F">
            <w:pPr>
              <w:spacing w:after="36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042F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lastRenderedPageBreak/>
              <w:t>4.</w:t>
            </w:r>
            <w:proofErr w:type="gramStart"/>
            <w:r w:rsidRPr="00D7042F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2.Возврат</w:t>
            </w:r>
            <w:proofErr w:type="gramEnd"/>
            <w:r w:rsidRPr="00D7042F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«Заказчику (потребителю)» денежных средств за не оказанные медицинские услуги производится при наличии документа, удостоверяющего личность, квитанции об оплате услуги (подлежит возврату «Исполнителю»), чека, наряда на выполнение услуги (подлежит возврату «Исполнителю») и заявления на имя руководителя учреждения . Возвращение денежных средств производится  после вынесения резолюции главным врачом и главным бухгалтером на заявлении  «Заказчика (потребителя)» в течении 10 дней..</w:t>
            </w:r>
          </w:p>
        </w:tc>
      </w:tr>
    </w:tbl>
    <w:p w:rsidR="00D7042F" w:rsidRPr="00D7042F" w:rsidRDefault="00D7042F" w:rsidP="00D7042F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7042F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0F11D9" w:rsidRDefault="000F11D9">
      <w:bookmarkStart w:id="0" w:name="_GoBack"/>
      <w:bookmarkEnd w:id="0"/>
    </w:p>
    <w:sectPr w:rsidR="000F11D9" w:rsidSect="00D70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E6"/>
    <w:rsid w:val="000F11D9"/>
    <w:rsid w:val="00D7042F"/>
    <w:rsid w:val="00E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4507A-D25E-40E0-9C65-59AA327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2019-09-10T07:48:00Z</dcterms:created>
  <dcterms:modified xsi:type="dcterms:W3CDTF">2019-09-10T07:48:00Z</dcterms:modified>
</cp:coreProperties>
</file>