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2F" w:rsidRDefault="00093A2F" w:rsidP="00093A2F">
      <w:pPr>
        <w:pStyle w:val="a3"/>
        <w:shd w:val="clear" w:color="auto" w:fill="FFFFFF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Порядок предоставления платных медицинских услуг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(утв. Постановлением Правительства РФ от 4 октября 2012 г. N 1006 "Об утверждении Правил предоставления медицинскими организациями платных медицинских услуг")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>
        <w:rPr>
          <w:rFonts w:ascii="Arial" w:hAnsi="Arial" w:cs="Arial"/>
          <w:color w:val="4C4C4C"/>
          <w:sz w:val="23"/>
          <w:szCs w:val="23"/>
        </w:rPr>
        <w:br/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3.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>
        <w:rPr>
          <w:rFonts w:ascii="Arial" w:hAnsi="Arial" w:cs="Arial"/>
          <w:color w:val="4C4C4C"/>
          <w:sz w:val="23"/>
          <w:szCs w:val="23"/>
        </w:rPr>
        <w:br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>
        <w:rPr>
          <w:rFonts w:ascii="Arial" w:hAnsi="Arial" w:cs="Arial"/>
          <w:color w:val="4C4C4C"/>
          <w:sz w:val="23"/>
          <w:szCs w:val="23"/>
        </w:rPr>
        <w:br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Условия предоставления платных медицинских услуг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(утв. Постановлением Правительства РФ от 4 октября 2012 г. N 1006 "Об утверждении Правил предоставления медицинскими организациями платных медицинских услуг")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>
        <w:rPr>
          <w:rFonts w:ascii="Arial" w:hAnsi="Arial" w:cs="Arial"/>
          <w:color w:val="4C4C4C"/>
          <w:sz w:val="23"/>
          <w:szCs w:val="23"/>
        </w:rPr>
        <w:br/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2.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r>
        <w:rPr>
          <w:rFonts w:ascii="Arial" w:hAnsi="Arial" w:cs="Arial"/>
          <w:color w:val="4C4C4C"/>
          <w:sz w:val="23"/>
          <w:szCs w:val="23"/>
        </w:rPr>
        <w:br/>
        <w:t xml:space="preserve">а) на иных условиях, чем предусмотрено программой, территориальными программами и (или) целевыми программами, по желанию потребителя (заказчика), </w:t>
      </w:r>
      <w:r>
        <w:rPr>
          <w:rFonts w:ascii="Arial" w:hAnsi="Arial" w:cs="Arial"/>
          <w:color w:val="4C4C4C"/>
          <w:sz w:val="23"/>
          <w:szCs w:val="23"/>
        </w:rPr>
        <w:lastRenderedPageBreak/>
        <w:t>включая в том числе:</w:t>
      </w:r>
      <w:r>
        <w:rPr>
          <w:rFonts w:ascii="Arial" w:hAnsi="Arial" w:cs="Arial"/>
          <w:color w:val="4C4C4C"/>
          <w:sz w:val="23"/>
          <w:szCs w:val="23"/>
        </w:rPr>
        <w:br/>
        <w:t>установление индивидуального поста медицинского наблюдения при лечении в условиях стационара;</w:t>
      </w:r>
      <w:r>
        <w:rPr>
          <w:rFonts w:ascii="Arial" w:hAnsi="Arial" w:cs="Arial"/>
          <w:color w:val="4C4C4C"/>
          <w:sz w:val="23"/>
          <w:szCs w:val="23"/>
        </w:rPr>
        <w:br/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r>
        <w:rPr>
          <w:rFonts w:ascii="Arial" w:hAnsi="Arial" w:cs="Arial"/>
          <w:color w:val="4C4C4C"/>
          <w:sz w:val="23"/>
          <w:szCs w:val="23"/>
        </w:rPr>
        <w:br/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  <w:r>
        <w:rPr>
          <w:rFonts w:ascii="Arial" w:hAnsi="Arial" w:cs="Arial"/>
          <w:color w:val="4C4C4C"/>
          <w:sz w:val="23"/>
          <w:szCs w:val="23"/>
        </w:rPr>
        <w:br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Fonts w:ascii="Arial" w:hAnsi="Arial" w:cs="Arial"/>
          <w:color w:val="4C4C4C"/>
          <w:sz w:val="23"/>
          <w:szCs w:val="23"/>
        </w:rPr>
        <w:br/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3.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r>
        <w:rPr>
          <w:rFonts w:ascii="Arial" w:hAnsi="Arial" w:cs="Arial"/>
          <w:color w:val="4C4C4C"/>
          <w:sz w:val="23"/>
          <w:szCs w:val="23"/>
        </w:rPr>
        <w:br/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4.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93A2F" w:rsidRDefault="00093A2F" w:rsidP="00093A2F">
      <w:pPr>
        <w:pStyle w:val="a3"/>
        <w:shd w:val="clear" w:color="auto" w:fill="FFFFFF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5.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76435" w:rsidRDefault="00876435">
      <w:bookmarkStart w:id="0" w:name="_GoBack"/>
      <w:bookmarkEnd w:id="0"/>
    </w:p>
    <w:sectPr w:rsidR="0087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C"/>
    <w:rsid w:val="00093A2F"/>
    <w:rsid w:val="00836D0C"/>
    <w:rsid w:val="008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7592-24DE-46F2-A6D3-D65203F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2019-11-12T12:51:00Z</dcterms:created>
  <dcterms:modified xsi:type="dcterms:W3CDTF">2019-11-12T12:51:00Z</dcterms:modified>
</cp:coreProperties>
</file>