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1D" w:rsidRDefault="00C3271D" w:rsidP="00C3271D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C3271D" w:rsidRDefault="00C3271D" w:rsidP="00C327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008799"/>
      <w:bookmarkStart w:id="1" w:name="005657"/>
      <w:bookmarkEnd w:id="0"/>
      <w:bookmarkEnd w:id="1"/>
      <w:r>
        <w:rPr>
          <w:rFonts w:ascii="Arial" w:hAnsi="Arial" w:cs="Arial"/>
          <w:color w:val="000000"/>
          <w:sz w:val="23"/>
          <w:szCs w:val="23"/>
        </w:rPr>
        <w:t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 </w:t>
      </w:r>
      <w:hyperlink r:id="rId4" w:anchor="005659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частями 2</w:t>
        </w:r>
      </w:hyperlink>
      <w:r>
        <w:rPr>
          <w:rFonts w:ascii="Arial" w:hAnsi="Arial" w:cs="Arial"/>
          <w:color w:val="000000"/>
          <w:sz w:val="23"/>
          <w:szCs w:val="23"/>
        </w:rPr>
        <w:t> - </w:t>
      </w:r>
      <w:hyperlink r:id="rId5" w:anchor="00566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 и </w:t>
      </w:r>
      <w:hyperlink r:id="rId6" w:anchor="008805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частью 3 статьи 11.23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Кодекса, -</w:t>
      </w:r>
    </w:p>
    <w:p w:rsidR="00C3271D" w:rsidRDefault="00C3271D" w:rsidP="00C327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005658"/>
      <w:bookmarkEnd w:id="2"/>
      <w:r>
        <w:rPr>
          <w:rFonts w:ascii="Arial" w:hAnsi="Arial" w:cs="Arial"/>
          <w:color w:val="000000"/>
          <w:sz w:val="23"/>
          <w:szCs w:val="23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C3271D" w:rsidRDefault="00C3271D" w:rsidP="00C327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005659"/>
      <w:bookmarkEnd w:id="3"/>
      <w:r>
        <w:rPr>
          <w:rFonts w:ascii="Arial" w:hAnsi="Arial" w:cs="Arial"/>
          <w:color w:val="000000"/>
          <w:sz w:val="23"/>
          <w:szCs w:val="23"/>
        </w:rPr>
        <w:t>2. Нарушение работодателем установленного порядка проведения специальной оценки условий труда на рабочих местах или ее непроведение -</w:t>
      </w:r>
    </w:p>
    <w:p w:rsidR="00C3271D" w:rsidRDefault="00C3271D" w:rsidP="00C327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005660"/>
      <w:bookmarkEnd w:id="4"/>
      <w:r>
        <w:rPr>
          <w:rFonts w:ascii="Arial" w:hAnsi="Arial" w:cs="Arial"/>
          <w:color w:val="000000"/>
          <w:sz w:val="23"/>
          <w:szCs w:val="23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C3271D" w:rsidRDefault="00C3271D" w:rsidP="00C327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005661"/>
      <w:bookmarkEnd w:id="5"/>
      <w:r>
        <w:rPr>
          <w:rFonts w:ascii="Arial" w:hAnsi="Arial" w:cs="Arial"/>
          <w:color w:val="000000"/>
          <w:sz w:val="23"/>
          <w:szCs w:val="23"/>
        </w:rPr>
        <w:t>3.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</w:p>
    <w:p w:rsidR="00C3271D" w:rsidRDefault="00C3271D" w:rsidP="00C327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005662"/>
      <w:bookmarkEnd w:id="6"/>
      <w:r>
        <w:rPr>
          <w:rFonts w:ascii="Arial" w:hAnsi="Arial" w:cs="Arial"/>
          <w:color w:val="000000"/>
          <w:sz w:val="23"/>
          <w:szCs w:val="23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C3271D" w:rsidRDefault="00C3271D" w:rsidP="00C327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005663"/>
      <w:bookmarkEnd w:id="7"/>
      <w:r>
        <w:rPr>
          <w:rFonts w:ascii="Arial" w:hAnsi="Arial" w:cs="Arial"/>
          <w:color w:val="000000"/>
          <w:sz w:val="23"/>
          <w:szCs w:val="23"/>
        </w:rPr>
        <w:t>4. Необеспечение работников средствами индивидуальной защиты -</w:t>
      </w:r>
    </w:p>
    <w:p w:rsidR="00C3271D" w:rsidRDefault="00C3271D" w:rsidP="00C327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005664"/>
      <w:bookmarkEnd w:id="8"/>
      <w:r>
        <w:rPr>
          <w:rFonts w:ascii="Arial" w:hAnsi="Arial" w:cs="Arial"/>
          <w:color w:val="000000"/>
          <w:sz w:val="23"/>
          <w:szCs w:val="23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C3271D" w:rsidRDefault="00C3271D" w:rsidP="00C327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005665"/>
      <w:bookmarkEnd w:id="9"/>
      <w:r>
        <w:rPr>
          <w:rFonts w:ascii="Arial" w:hAnsi="Arial" w:cs="Arial"/>
          <w:color w:val="000000"/>
          <w:sz w:val="23"/>
          <w:szCs w:val="23"/>
        </w:rPr>
        <w:t>5. Совершение административных правонарушений, предусмотренных </w:t>
      </w:r>
      <w:hyperlink r:id="rId7" w:anchor="005657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частями 1</w:t>
        </w:r>
      </w:hyperlink>
      <w:r>
        <w:rPr>
          <w:rFonts w:ascii="Arial" w:hAnsi="Arial" w:cs="Arial"/>
          <w:color w:val="000000"/>
          <w:sz w:val="23"/>
          <w:szCs w:val="23"/>
        </w:rPr>
        <w:t> - </w:t>
      </w:r>
      <w:hyperlink r:id="rId8" w:anchor="00566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C3271D" w:rsidRDefault="00C3271D" w:rsidP="00C327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005666"/>
      <w:bookmarkEnd w:id="10"/>
      <w:r>
        <w:rPr>
          <w:rFonts w:ascii="Arial" w:hAnsi="Arial" w:cs="Arial"/>
          <w:color w:val="000000"/>
          <w:sz w:val="23"/>
          <w:szCs w:val="23"/>
        </w:rPr>
        <w:t xml:space="preserve"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</w:t>
      </w:r>
      <w:r>
        <w:rPr>
          <w:rFonts w:ascii="Arial" w:hAnsi="Arial" w:cs="Arial"/>
          <w:color w:val="000000"/>
          <w:sz w:val="23"/>
          <w:szCs w:val="23"/>
        </w:rPr>
        <w:lastRenderedPageBreak/>
        <w:t>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C3271D" w:rsidRDefault="00C3271D" w:rsidP="00C3271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005667"/>
      <w:bookmarkEnd w:id="11"/>
      <w:r>
        <w:rPr>
          <w:rFonts w:ascii="Arial" w:hAnsi="Arial" w:cs="Arial"/>
          <w:color w:val="000000"/>
          <w:sz w:val="23"/>
          <w:szCs w:val="23"/>
        </w:rPr>
        <w:t>Примечание. Под средствами индивидуальной защиты в </w:t>
      </w:r>
      <w:hyperlink r:id="rId9" w:anchor="00566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части 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 следует понимать средства индивидуальной защиты, отнесенные техническим </w:t>
      </w:r>
      <w:hyperlink r:id="rId10" w:anchor="100027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регламентом</w:t>
        </w:r>
      </w:hyperlink>
      <w:r>
        <w:rPr>
          <w:rFonts w:ascii="Arial" w:hAnsi="Arial" w:cs="Arial"/>
          <w:color w:val="000000"/>
          <w:sz w:val="23"/>
          <w:szCs w:val="23"/>
        </w:rPr>
        <w:t> Таможенного союза "О безопасности средств индивидуальной защиты" ко 2 классу в зависимости от степени риска причинения вреда работнику.</w:t>
      </w:r>
    </w:p>
    <w:p w:rsidR="006C5EF6" w:rsidRDefault="006C5EF6">
      <w:bookmarkStart w:id="12" w:name="_GoBack"/>
      <w:bookmarkEnd w:id="12"/>
    </w:p>
    <w:sectPr w:rsidR="006C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38"/>
    <w:rsid w:val="00483538"/>
    <w:rsid w:val="006C5EF6"/>
    <w:rsid w:val="00C3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A5E79-1078-44CF-8C33-62C46D05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3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2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KOAP-RF/razdel-ii/glava-5/statja-5.27.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kodeks/KOAP-RF/razdel-ii/glava-5/statja-5.27.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KOAP-RF/razdel-ii/glava-11/statja-11.2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kodeks/KOAP-RF/razdel-ii/glava-5/statja-5.27.1/" TargetMode="External"/><Relationship Id="rId10" Type="http://schemas.openxmlformats.org/officeDocument/2006/relationships/hyperlink" Target="https://legalacts.ru/doc/reshenie-komissii-tamozhennogo-soiuza-ot-09122011-n-878-o/" TargetMode="External"/><Relationship Id="rId4" Type="http://schemas.openxmlformats.org/officeDocument/2006/relationships/hyperlink" Target="https://legalacts.ru/kodeks/KOAP-RF/razdel-ii/glava-5/statja-5.27.1/" TargetMode="External"/><Relationship Id="rId9" Type="http://schemas.openxmlformats.org/officeDocument/2006/relationships/hyperlink" Target="https://legalacts.ru/kodeks/KOAP-RF/razdel-ii/glava-5/statja-5.27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2020-05-21T13:13:00Z</dcterms:created>
  <dcterms:modified xsi:type="dcterms:W3CDTF">2020-05-21T13:13:00Z</dcterms:modified>
</cp:coreProperties>
</file>